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84" w:rsidRDefault="003C5E84" w:rsidP="003C5E84">
      <w:r>
        <w:t>Rachel 2192 words</w:t>
      </w:r>
    </w:p>
    <w:p w:rsidR="00D03186" w:rsidRPr="00042DE1" w:rsidRDefault="00D03186" w:rsidP="00105633">
      <w:pPr>
        <w:pStyle w:val="Title"/>
      </w:pPr>
      <w:r w:rsidRPr="00042DE1">
        <w:t xml:space="preserve">Guidelines </w:t>
      </w:r>
      <w:r w:rsidR="00105633">
        <w:t>of</w:t>
      </w:r>
      <w:r w:rsidRPr="00042DE1">
        <w:t xml:space="preserve"> the Director of the </w:t>
      </w:r>
      <w:r w:rsidR="000F5E5E" w:rsidRPr="00042DE1">
        <w:t xml:space="preserve">Government </w:t>
      </w:r>
      <w:r w:rsidR="00CD2E40" w:rsidRPr="00042DE1">
        <w:t>Information and Communication Technologies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2605"/>
        <w:gridCol w:w="3209"/>
      </w:tblGrid>
      <w:tr w:rsidR="0085060F" w:rsidTr="006018D7">
        <w:tc>
          <w:tcPr>
            <w:tcW w:w="9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85060F" w:rsidRPr="003F13F0" w:rsidRDefault="00243402" w:rsidP="00A47ED6">
            <w:pPr>
              <w:pStyle w:val="text1"/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Guideline Title</w:t>
            </w:r>
            <w:r w:rsidR="0085060F" w:rsidRPr="0023194B">
              <w:rPr>
                <w:b/>
                <w:bCs/>
                <w:color w:val="FFFFFF" w:themeColor="background1"/>
              </w:rPr>
              <w:t xml:space="preserve">: </w:t>
            </w:r>
            <w:r w:rsidR="00DA1DF7" w:rsidRPr="0023194B">
              <w:rPr>
                <w:b/>
                <w:bCs/>
                <w:color w:val="FFFFFF" w:themeColor="background1"/>
              </w:rPr>
              <w:t xml:space="preserve">Policy for </w:t>
            </w:r>
            <w:r w:rsidR="00DE3555" w:rsidRPr="0023194B">
              <w:rPr>
                <w:b/>
                <w:bCs/>
                <w:color w:val="FFFFFF" w:themeColor="background1"/>
              </w:rPr>
              <w:t xml:space="preserve">Publicizing </w:t>
            </w:r>
            <w:r w:rsidR="00A47ED6" w:rsidRPr="0023194B">
              <w:rPr>
                <w:b/>
                <w:bCs/>
                <w:color w:val="FFFFFF" w:themeColor="background1"/>
              </w:rPr>
              <w:t>State-Owned Code</w:t>
            </w:r>
          </w:p>
        </w:tc>
      </w:tr>
      <w:tr w:rsidR="003B225E" w:rsidTr="00691808"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25E" w:rsidRDefault="003B225E" w:rsidP="00DA5341">
            <w:pPr>
              <w:pStyle w:val="text1"/>
              <w:spacing w:before="80" w:after="80"/>
            </w:pPr>
            <w:r>
              <w:t>Primary Chapter: Open</w:t>
            </w:r>
            <w:r w:rsidR="00DA0981">
              <w:t>-Source</w:t>
            </w:r>
            <w:r>
              <w:t xml:space="preserve"> Governance</w:t>
            </w:r>
          </w:p>
        </w:tc>
        <w:tc>
          <w:tcPr>
            <w:tcW w:w="260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25E" w:rsidRDefault="003B225E" w:rsidP="00DA5341">
            <w:pPr>
              <w:pStyle w:val="text1"/>
              <w:spacing w:before="80" w:after="80"/>
            </w:pPr>
            <w:r>
              <w:t>Guideline No. 7.3.01</w:t>
            </w:r>
          </w:p>
        </w:tc>
        <w:tc>
          <w:tcPr>
            <w:tcW w:w="320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25E" w:rsidRDefault="00FF7F0C" w:rsidP="00105633">
            <w:pPr>
              <w:pStyle w:val="text1"/>
              <w:spacing w:before="80" w:after="80"/>
              <w:jc w:val="center"/>
            </w:pPr>
            <w:r>
              <w:t>In effect</w:t>
            </w:r>
            <w:r w:rsidR="003B225E">
              <w:t xml:space="preserve"> </w:t>
            </w:r>
            <w:r w:rsidR="00105633">
              <w:t>since</w:t>
            </w:r>
            <w:r w:rsidR="003B225E">
              <w:t xml:space="preserve"> April 1, 2018</w:t>
            </w:r>
          </w:p>
        </w:tc>
      </w:tr>
      <w:tr w:rsidR="003B225E" w:rsidTr="00691808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25E" w:rsidRDefault="003B225E" w:rsidP="00DA5341">
            <w:pPr>
              <w:pStyle w:val="text1"/>
              <w:spacing w:before="80" w:after="80"/>
            </w:pPr>
            <w:r>
              <w:t>Secondary Chapter: Open</w:t>
            </w:r>
            <w:r w:rsidR="00413613">
              <w:t>-Source</w:t>
            </w:r>
            <w:r>
              <w:t xml:space="preserve"> Code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25E" w:rsidRDefault="003B225E" w:rsidP="00DA5341">
            <w:pPr>
              <w:pStyle w:val="text1"/>
              <w:spacing w:before="80" w:after="80"/>
            </w:pPr>
            <w:r>
              <w:t>Version No. 1.0</w:t>
            </w:r>
          </w:p>
        </w:tc>
        <w:tc>
          <w:tcPr>
            <w:tcW w:w="3209" w:type="dxa"/>
            <w:vMerge/>
            <w:tcBorders>
              <w:left w:val="nil"/>
              <w:bottom w:val="nil"/>
              <w:right w:val="nil"/>
            </w:tcBorders>
          </w:tcPr>
          <w:p w:rsidR="003B225E" w:rsidRDefault="003B225E" w:rsidP="0085060F">
            <w:pPr>
              <w:pStyle w:val="text1"/>
              <w:spacing w:before="80" w:after="80"/>
            </w:pPr>
          </w:p>
        </w:tc>
      </w:tr>
    </w:tbl>
    <w:p w:rsidR="00AF6BAC" w:rsidRPr="00974E8E" w:rsidRDefault="009600B8" w:rsidP="00103E8C">
      <w:pPr>
        <w:pStyle w:val="Heading1"/>
      </w:pPr>
      <w:r w:rsidRPr="00042DE1">
        <w:t>Powers</w:t>
      </w:r>
      <w:r w:rsidRPr="00974E8E">
        <w:t xml:space="preserve"> of the </w:t>
      </w:r>
      <w:r w:rsidR="00AC41A9" w:rsidRPr="00974E8E">
        <w:t>Government Information and Communication Technologies Authority</w:t>
      </w:r>
    </w:p>
    <w:p w:rsidR="005322FF" w:rsidRDefault="004E45E1" w:rsidP="0028544B">
      <w:pPr>
        <w:pStyle w:val="numsec1"/>
      </w:pPr>
      <w:r>
        <w:t xml:space="preserve">Government Resolution </w:t>
      </w:r>
      <w:r w:rsidR="00AA76BE">
        <w:t xml:space="preserve">2097, passed on October 10, 2014, </w:t>
      </w:r>
      <w:r w:rsidR="00294A5F">
        <w:t>expanded and redefined the goals</w:t>
      </w:r>
      <w:r w:rsidR="00321B33">
        <w:t xml:space="preserve">, powers, and roles of the </w:t>
      </w:r>
      <w:r w:rsidR="00277F64">
        <w:t>Government Information and Communications Technologies Authority</w:t>
      </w:r>
      <w:r w:rsidR="00CC31B9">
        <w:t xml:space="preserve"> and its director. </w:t>
      </w:r>
      <w:r w:rsidR="000120A4">
        <w:t xml:space="preserve">As part of the powers and roles that were defined, </w:t>
      </w:r>
      <w:r w:rsidR="001A36EF">
        <w:t xml:space="preserve">the following was determined: “The </w:t>
      </w:r>
      <w:r w:rsidR="00800103">
        <w:t xml:space="preserve">Government Information and Communications Technologies Authority </w:t>
      </w:r>
      <w:r w:rsidR="00AF7A97">
        <w:t xml:space="preserve">shall be responsible for </w:t>
      </w:r>
      <w:r w:rsidR="00F95AC0">
        <w:t xml:space="preserve">setting standards in the </w:t>
      </w:r>
      <w:r w:rsidR="00210125">
        <w:t xml:space="preserve">fields of information technology and </w:t>
      </w:r>
      <w:r w:rsidR="00CB6FC8">
        <w:t xml:space="preserve">assistance in implementing them </w:t>
      </w:r>
      <w:r w:rsidR="00A23781">
        <w:t xml:space="preserve">in the </w:t>
      </w:r>
      <w:r w:rsidR="00F67F13">
        <w:t xml:space="preserve">information-systems </w:t>
      </w:r>
      <w:r w:rsidR="00736F16">
        <w:t xml:space="preserve">departments in the </w:t>
      </w:r>
      <w:r w:rsidR="00993B1B">
        <w:t xml:space="preserve">government ministries and their </w:t>
      </w:r>
      <w:r w:rsidR="0028544B">
        <w:t>subordinate</w:t>
      </w:r>
      <w:r w:rsidR="0052565E">
        <w:t xml:space="preserve"> units” (</w:t>
      </w:r>
      <w:r w:rsidR="0023791E">
        <w:t>Paragraph 3b).</w:t>
      </w:r>
    </w:p>
    <w:p w:rsidR="00D768E4" w:rsidRDefault="00B51CB0" w:rsidP="005D6032">
      <w:pPr>
        <w:pStyle w:val="Heading1"/>
      </w:pPr>
      <w:r>
        <w:t>Target Audience</w:t>
      </w:r>
    </w:p>
    <w:p w:rsidR="00B51CB0" w:rsidRDefault="0069188B" w:rsidP="007E6C4E">
      <w:pPr>
        <w:pStyle w:val="numsec1"/>
      </w:pPr>
      <w:r>
        <w:t xml:space="preserve">Managers </w:t>
      </w:r>
      <w:r w:rsidR="006D3935">
        <w:t>in the Government Information and Communication Technologies Authority</w:t>
      </w:r>
      <w:r w:rsidR="00F255A2">
        <w:t>.</w:t>
      </w:r>
    </w:p>
    <w:p w:rsidR="006D3935" w:rsidRDefault="001C1004" w:rsidP="00955DC6">
      <w:pPr>
        <w:pStyle w:val="numsec1"/>
      </w:pPr>
      <w:r>
        <w:t xml:space="preserve">Managers of the </w:t>
      </w:r>
      <w:r w:rsidR="00CF4192">
        <w:t xml:space="preserve">departments responsible to the </w:t>
      </w:r>
      <w:r w:rsidR="004D6DA1">
        <w:t>Government Information and Communications Technologies Authority</w:t>
      </w:r>
      <w:r w:rsidR="00F255A2">
        <w:t>.</w:t>
      </w:r>
    </w:p>
    <w:p w:rsidR="00233212" w:rsidRDefault="00B045C9" w:rsidP="00955DC6">
      <w:pPr>
        <w:pStyle w:val="numsec1"/>
      </w:pPr>
      <w:r>
        <w:t xml:space="preserve">Employees in charge of cyber </w:t>
      </w:r>
      <w:r w:rsidR="00273698">
        <w:t xml:space="preserve">defense and </w:t>
      </w:r>
      <w:r w:rsidR="0075075B">
        <w:t xml:space="preserve">security </w:t>
      </w:r>
      <w:r w:rsidR="00281004">
        <w:t>managers</w:t>
      </w:r>
      <w:r w:rsidR="00814BC0">
        <w:t xml:space="preserve"> in the government ministries</w:t>
      </w:r>
      <w:r w:rsidR="00F255A2">
        <w:t>.</w:t>
      </w:r>
    </w:p>
    <w:p w:rsidR="007A4E38" w:rsidRDefault="00FC78CE" w:rsidP="007A4E38">
      <w:pPr>
        <w:pStyle w:val="Heading1"/>
      </w:pPr>
      <w:r>
        <w:t>Purposes of the Guideline</w:t>
      </w:r>
    </w:p>
    <w:p w:rsidR="00FC78CE" w:rsidRDefault="0025148B" w:rsidP="00955DC6">
      <w:pPr>
        <w:pStyle w:val="numsec1"/>
      </w:pPr>
      <w:r>
        <w:t xml:space="preserve">To regulate the </w:t>
      </w:r>
      <w:proofErr w:type="gramStart"/>
      <w:r>
        <w:t>manner in which</w:t>
      </w:r>
      <w:proofErr w:type="gramEnd"/>
      <w:r>
        <w:t xml:space="preserve"> </w:t>
      </w:r>
      <w:r w:rsidR="00BC7853">
        <w:t xml:space="preserve">software </w:t>
      </w:r>
      <w:r>
        <w:t xml:space="preserve">code </w:t>
      </w:r>
      <w:r w:rsidR="00D16DDD">
        <w:t xml:space="preserve">owned by government ministries </w:t>
      </w:r>
      <w:r w:rsidR="002D2FD7">
        <w:t xml:space="preserve">is </w:t>
      </w:r>
      <w:r w:rsidR="006562D0">
        <w:t>made available to the public as open-source code</w:t>
      </w:r>
      <w:r w:rsidR="00F255A2">
        <w:t>.</w:t>
      </w:r>
    </w:p>
    <w:p w:rsidR="00E170B1" w:rsidRDefault="00746AF6" w:rsidP="0027406D">
      <w:pPr>
        <w:pStyle w:val="numsec1"/>
      </w:pPr>
      <w:r>
        <w:t xml:space="preserve">To define </w:t>
      </w:r>
      <w:r w:rsidR="0074360B">
        <w:t xml:space="preserve">the process of </w:t>
      </w:r>
      <w:r w:rsidR="0027406D">
        <w:t xml:space="preserve">making code available to the public </w:t>
      </w:r>
      <w:r w:rsidR="00F70917">
        <w:t xml:space="preserve">while minimizing </w:t>
      </w:r>
      <w:r w:rsidR="00ED2E61">
        <w:t xml:space="preserve">the </w:t>
      </w:r>
      <w:r w:rsidR="00DA78E3">
        <w:t xml:space="preserve">potential </w:t>
      </w:r>
      <w:r w:rsidR="004118B1">
        <w:t>damage to information security</w:t>
      </w:r>
      <w:r w:rsidR="00F255A2">
        <w:t>.</w:t>
      </w:r>
    </w:p>
    <w:p w:rsidR="004118B1" w:rsidRDefault="00B15EDD" w:rsidP="00E3295C">
      <w:pPr>
        <w:pStyle w:val="numsec1"/>
      </w:pPr>
      <w:r>
        <w:t xml:space="preserve">This guideline does not address the </w:t>
      </w:r>
      <w:r w:rsidR="007750E9">
        <w:t xml:space="preserve">process of </w:t>
      </w:r>
      <w:r w:rsidR="00B86229">
        <w:t xml:space="preserve">putting the </w:t>
      </w:r>
      <w:r w:rsidR="008E7FB2">
        <w:t xml:space="preserve">open-source code to use </w:t>
      </w:r>
      <w:r w:rsidR="00A61CA6">
        <w:t xml:space="preserve">in the government ministries. </w:t>
      </w:r>
      <w:r w:rsidR="005C0482">
        <w:t xml:space="preserve">This process is regulated </w:t>
      </w:r>
      <w:r w:rsidR="00AF7530">
        <w:t xml:space="preserve">in Guideline No. 7.3.02, </w:t>
      </w:r>
      <w:r w:rsidR="00E3295C">
        <w:t xml:space="preserve">Usage Policy for </w:t>
      </w:r>
      <w:r w:rsidR="00A405DC">
        <w:t>Open-Source Code Solutions.</w:t>
      </w:r>
    </w:p>
    <w:p w:rsidR="00840311" w:rsidRDefault="001F2860" w:rsidP="00840311">
      <w:pPr>
        <w:pStyle w:val="numsec1"/>
      </w:pPr>
      <w:r>
        <w:t xml:space="preserve">This guideline </w:t>
      </w:r>
      <w:r w:rsidR="003F002F">
        <w:t xml:space="preserve">is a </w:t>
      </w:r>
      <w:r w:rsidR="00A9365C">
        <w:t>government policy document</w:t>
      </w:r>
      <w:r w:rsidR="00E063A4">
        <w:t xml:space="preserve">. All its </w:t>
      </w:r>
      <w:r w:rsidR="00A34BD6">
        <w:t xml:space="preserve">content is therefore binding upon </w:t>
      </w:r>
      <w:r w:rsidR="00623260">
        <w:t>the target audience.</w:t>
      </w:r>
      <w:bookmarkStart w:id="0" w:name="_GoBack"/>
      <w:bookmarkEnd w:id="0"/>
      <w:r w:rsidR="00840311">
        <w:br w:type="page"/>
      </w:r>
    </w:p>
    <w:p w:rsidR="00C7033E" w:rsidRDefault="00C7033E" w:rsidP="00C7033E">
      <w:pPr>
        <w:pStyle w:val="Heading1"/>
      </w:pPr>
      <w:r>
        <w:lastRenderedPageBreak/>
        <w:t>Definition of Concepts</w:t>
      </w:r>
    </w:p>
    <w:p w:rsidR="00B406AC" w:rsidRPr="00BA5BD3" w:rsidRDefault="00A63E34" w:rsidP="00BA5BD3">
      <w:pPr>
        <w:pStyle w:val="numsec1"/>
      </w:pPr>
      <w:r>
        <w:t>Authority</w:t>
      </w:r>
      <w:r w:rsidR="007F64DA">
        <w:t xml:space="preserve"> — </w:t>
      </w:r>
      <w:r w:rsidR="002E26D2">
        <w:t xml:space="preserve">The </w:t>
      </w:r>
      <w:r w:rsidR="00EB2CF6">
        <w:t>Government Information and Communication Technologies Authority</w:t>
      </w:r>
      <w:r w:rsidR="00F255A2">
        <w:t>.</w:t>
      </w:r>
    </w:p>
    <w:p w:rsidR="00C27BE8" w:rsidRDefault="00C27BE8" w:rsidP="000E2865">
      <w:pPr>
        <w:pStyle w:val="numsec1"/>
      </w:pPr>
      <w:r>
        <w:t xml:space="preserve">Guideline — </w:t>
      </w:r>
      <w:r w:rsidR="00E6094C">
        <w:t xml:space="preserve">A guideline of the director of the </w:t>
      </w:r>
      <w:r w:rsidR="00DB480F">
        <w:t>Government Information and Communication Technologies Authority</w:t>
      </w:r>
      <w:r w:rsidR="00C61FB9">
        <w:t>.</w:t>
      </w:r>
    </w:p>
    <w:p w:rsidR="00950E44" w:rsidRDefault="00950E44" w:rsidP="0028544B">
      <w:pPr>
        <w:pStyle w:val="numsec1"/>
      </w:pPr>
      <w:r>
        <w:t xml:space="preserve">Ministry — A government </w:t>
      </w:r>
      <w:r w:rsidR="00CF1DB6">
        <w:t xml:space="preserve">ministry or </w:t>
      </w:r>
      <w:r w:rsidR="0028544B">
        <w:t>subordinate</w:t>
      </w:r>
      <w:r w:rsidR="00503776">
        <w:t xml:space="preserve"> </w:t>
      </w:r>
      <w:r w:rsidR="00B3117C">
        <w:t>department.</w:t>
      </w:r>
    </w:p>
    <w:p w:rsidR="00150FFC" w:rsidRDefault="00977E7B" w:rsidP="00213073">
      <w:pPr>
        <w:pStyle w:val="numsec1"/>
      </w:pPr>
      <w:r>
        <w:t xml:space="preserve">A subordinate </w:t>
      </w:r>
      <w:r w:rsidR="00213073">
        <w:t>unit of</w:t>
      </w:r>
      <w:r w:rsidR="00C74A91">
        <w:t xml:space="preserve"> the </w:t>
      </w:r>
      <w:r w:rsidR="00315282">
        <w:t>Government Information and Communication Technologies Authority</w:t>
      </w:r>
      <w:r w:rsidR="007D592B">
        <w:t xml:space="preserve"> — </w:t>
      </w:r>
      <w:r w:rsidR="009924AE">
        <w:t xml:space="preserve">A unit </w:t>
      </w:r>
      <w:r w:rsidR="00DE5854">
        <w:t xml:space="preserve">in the </w:t>
      </w:r>
      <w:r w:rsidR="00882C6F">
        <w:t xml:space="preserve">organization that is </w:t>
      </w:r>
      <w:r w:rsidR="0014024C">
        <w:t xml:space="preserve">guided by the </w:t>
      </w:r>
      <w:r w:rsidR="00BA1FF2">
        <w:t>Government Information and Communication Technologies Authority</w:t>
      </w:r>
      <w:r w:rsidR="00410A57">
        <w:t xml:space="preserve"> in accordance with </w:t>
      </w:r>
      <w:r w:rsidR="00216ED3">
        <w:t>the government’s resolutions</w:t>
      </w:r>
      <w:r w:rsidR="00FA11F1">
        <w:t>, such as</w:t>
      </w:r>
      <w:r w:rsidR="00216ED3">
        <w:t xml:space="preserve"> </w:t>
      </w:r>
      <w:r w:rsidR="00270A6A">
        <w:t xml:space="preserve">the </w:t>
      </w:r>
      <w:r w:rsidR="00FA11F1">
        <w:t>I</w:t>
      </w:r>
      <w:r w:rsidR="00270A6A">
        <w:t xml:space="preserve">nformation </w:t>
      </w:r>
      <w:r w:rsidR="00FA11F1">
        <w:t>S</w:t>
      </w:r>
      <w:r w:rsidR="008A654D">
        <w:t xml:space="preserve">ystems </w:t>
      </w:r>
      <w:r w:rsidR="00FA11F1">
        <w:t>Division</w:t>
      </w:r>
      <w:r w:rsidR="008A654D">
        <w:t xml:space="preserve"> </w:t>
      </w:r>
      <w:r w:rsidR="00FA11F1">
        <w:t>and the Cyber Defense Unit.</w:t>
      </w:r>
    </w:p>
    <w:p w:rsidR="00FC6E59" w:rsidRDefault="00C955C3" w:rsidP="004F4DB3">
      <w:pPr>
        <w:pStyle w:val="numsec1"/>
      </w:pPr>
      <w:r>
        <w:t xml:space="preserve">The Chief Information Officer (CIO) — </w:t>
      </w:r>
      <w:r w:rsidR="00EC68DE">
        <w:t xml:space="preserve">The </w:t>
      </w:r>
      <w:r w:rsidR="00823B06">
        <w:t>chief information systems officer</w:t>
      </w:r>
      <w:r w:rsidR="003B10CA">
        <w:t>/</w:t>
      </w:r>
      <w:r w:rsidR="00F267B4">
        <w:t xml:space="preserve">director of the </w:t>
      </w:r>
      <w:r w:rsidR="004F4DB3">
        <w:t>Information Systems Division</w:t>
      </w:r>
      <w:r w:rsidR="00F255A2">
        <w:t>.</w:t>
      </w:r>
    </w:p>
    <w:p w:rsidR="007A4E85" w:rsidRDefault="004760B8" w:rsidP="00AD3046">
      <w:pPr>
        <w:pStyle w:val="numsec1"/>
      </w:pPr>
      <w:r>
        <w:t xml:space="preserve">Open-source software — </w:t>
      </w:r>
      <w:r w:rsidR="003F19B8">
        <w:t xml:space="preserve">Computer software </w:t>
      </w:r>
      <w:r w:rsidR="00FB69D5">
        <w:t>whose owners have made it</w:t>
      </w:r>
      <w:r w:rsidR="005F2B1D">
        <w:t>s source code</w:t>
      </w:r>
      <w:r w:rsidR="00FB69D5">
        <w:t xml:space="preserve"> accessible</w:t>
      </w:r>
      <w:r w:rsidR="00F45B98">
        <w:t xml:space="preserve"> to the </w:t>
      </w:r>
      <w:proofErr w:type="gramStart"/>
      <w:r w:rsidR="00F45B98">
        <w:t>general public</w:t>
      </w:r>
      <w:proofErr w:type="gramEnd"/>
      <w:r w:rsidR="007F6E62">
        <w:t xml:space="preserve"> and given them </w:t>
      </w:r>
      <w:r w:rsidR="00AB3F15">
        <w:t xml:space="preserve">the right to </w:t>
      </w:r>
      <w:r w:rsidR="00523C74">
        <w:t xml:space="preserve">view, use, </w:t>
      </w:r>
      <w:r w:rsidR="006B4435">
        <w:t xml:space="preserve">update, and distribute it </w:t>
      </w:r>
      <w:r w:rsidR="004E4C38">
        <w:t xml:space="preserve">to others, </w:t>
      </w:r>
      <w:r w:rsidR="00227573">
        <w:t xml:space="preserve">subject to </w:t>
      </w:r>
      <w:r w:rsidR="00C82A4B">
        <w:t xml:space="preserve">open-source license restrictions </w:t>
      </w:r>
      <w:r w:rsidR="00AD3046">
        <w:t xml:space="preserve">in accordance with the conventional definition </w:t>
      </w:r>
      <w:r w:rsidR="000F4AB6">
        <w:t>of such a license (</w:t>
      </w:r>
      <w:r w:rsidR="00A054E8">
        <w:t xml:space="preserve">see, for example, https://opensource.org./osd). </w:t>
      </w:r>
      <w:r w:rsidR="001645F0">
        <w:t xml:space="preserve">The </w:t>
      </w:r>
      <w:r w:rsidR="00FC7597">
        <w:t xml:space="preserve">primary purpose of </w:t>
      </w:r>
      <w:r w:rsidR="008028DC">
        <w:t xml:space="preserve">open-source </w:t>
      </w:r>
      <w:r w:rsidR="0041680E">
        <w:t xml:space="preserve">software code is </w:t>
      </w:r>
      <w:r w:rsidR="003121C5">
        <w:t xml:space="preserve">the development of the software </w:t>
      </w:r>
      <w:r w:rsidR="005B06C5">
        <w:t xml:space="preserve">by people </w:t>
      </w:r>
      <w:r w:rsidR="006454A6">
        <w:t>in partnership</w:t>
      </w:r>
      <w:r w:rsidR="005B06C5">
        <w:t xml:space="preserve">, </w:t>
      </w:r>
      <w:r w:rsidR="007D6500">
        <w:t xml:space="preserve">thus contributing </w:t>
      </w:r>
      <w:r w:rsidR="002F3AD1">
        <w:t xml:space="preserve">to the improvement and </w:t>
      </w:r>
      <w:r w:rsidR="008421D5">
        <w:t>benefit of all the developers who use it.</w:t>
      </w:r>
    </w:p>
    <w:p w:rsidR="00D97CB3" w:rsidRDefault="000925E2" w:rsidP="008F4A3C">
      <w:pPr>
        <w:pStyle w:val="numsec1"/>
      </w:pPr>
      <w:r>
        <w:t>O</w:t>
      </w:r>
      <w:r w:rsidR="00412EDF">
        <w:t xml:space="preserve">pen-source use license — </w:t>
      </w:r>
      <w:r>
        <w:t>A</w:t>
      </w:r>
      <w:r w:rsidR="00FD45AD">
        <w:t xml:space="preserve">n open-code license, according to </w:t>
      </w:r>
      <w:r w:rsidR="00E0214B">
        <w:t>its conventional definition (see, for example</w:t>
      </w:r>
      <w:r w:rsidR="002A327C">
        <w:t>, https://opensource.</w:t>
      </w:r>
      <w:r w:rsidR="005F7BBE">
        <w:t>org.osd)</w:t>
      </w:r>
      <w:r w:rsidR="0016620D">
        <w:t xml:space="preserve">, </w:t>
      </w:r>
      <w:r w:rsidR="00F2785F">
        <w:t xml:space="preserve">which </w:t>
      </w:r>
      <w:r w:rsidR="00367E67">
        <w:t xml:space="preserve">also </w:t>
      </w:r>
      <w:r w:rsidR="00AB348E">
        <w:t xml:space="preserve">states that </w:t>
      </w:r>
      <w:r w:rsidR="00BA719D">
        <w:t xml:space="preserve">the public may </w:t>
      </w:r>
      <w:r w:rsidR="003B0EDB">
        <w:t xml:space="preserve">make use of the software code </w:t>
      </w:r>
      <w:r w:rsidR="001228B8">
        <w:t xml:space="preserve">(and derivative works) </w:t>
      </w:r>
      <w:r w:rsidR="004B0907">
        <w:t xml:space="preserve">without payment, subject to </w:t>
      </w:r>
      <w:r w:rsidR="002D4CD6">
        <w:t xml:space="preserve">the conditions stipulated in the license. </w:t>
      </w:r>
      <w:r w:rsidR="00AA4A0B">
        <w:t xml:space="preserve">The license </w:t>
      </w:r>
      <w:r w:rsidR="008F4A3C">
        <w:t xml:space="preserve">lists the </w:t>
      </w:r>
      <w:r w:rsidR="008D58F6">
        <w:t xml:space="preserve">rights and obligations </w:t>
      </w:r>
      <w:r w:rsidR="004E0AA8">
        <w:t xml:space="preserve">of each person </w:t>
      </w:r>
      <w:r w:rsidR="002B12BE">
        <w:t xml:space="preserve">who </w:t>
      </w:r>
      <w:r w:rsidR="00BC397C">
        <w:t xml:space="preserve">takes the </w:t>
      </w:r>
      <w:r w:rsidR="00237364">
        <w:t xml:space="preserve">software code and </w:t>
      </w:r>
      <w:r w:rsidR="0036002D">
        <w:t xml:space="preserve">changes, uses, or </w:t>
      </w:r>
      <w:r w:rsidR="00D22734">
        <w:t>expands it.</w:t>
      </w:r>
    </w:p>
    <w:p w:rsidR="00D22734" w:rsidRDefault="00362FA6" w:rsidP="00050183">
      <w:pPr>
        <w:pStyle w:val="numsec1"/>
      </w:pPr>
      <w:r>
        <w:t xml:space="preserve">Code-sharing platform — </w:t>
      </w:r>
      <w:r w:rsidR="002F295E">
        <w:t>A</w:t>
      </w:r>
      <w:r w:rsidR="00AD00B7">
        <w:t xml:space="preserve">n environment that supports the </w:t>
      </w:r>
      <w:r w:rsidR="00C5107B">
        <w:t>open-</w:t>
      </w:r>
      <w:r w:rsidR="00D9409F">
        <w:t xml:space="preserve">source that enables </w:t>
      </w:r>
      <w:r w:rsidR="000565BD">
        <w:t xml:space="preserve">publication, </w:t>
      </w:r>
      <w:r w:rsidR="00BA210D">
        <w:t xml:space="preserve">management, and </w:t>
      </w:r>
      <w:r w:rsidR="005601FD">
        <w:t>critique of versions of the software</w:t>
      </w:r>
      <w:r w:rsidR="00435A0E">
        <w:t xml:space="preserve">, among other things, </w:t>
      </w:r>
      <w:r w:rsidR="00B221E0">
        <w:t xml:space="preserve">which has been approved as such by the </w:t>
      </w:r>
      <w:r w:rsidR="00B766F3">
        <w:t xml:space="preserve">director of the </w:t>
      </w:r>
      <w:r w:rsidR="00FA2FFF">
        <w:t xml:space="preserve">Government Information and Communication Technologies Authority or </w:t>
      </w:r>
      <w:r w:rsidR="004833A2">
        <w:t xml:space="preserve">anyone appointed by </w:t>
      </w:r>
      <w:r w:rsidR="00050183">
        <w:t>the director</w:t>
      </w:r>
      <w:r w:rsidR="004833A2">
        <w:t xml:space="preserve"> for that purpose.</w:t>
      </w:r>
    </w:p>
    <w:p w:rsidR="00814134" w:rsidRDefault="00F22CF7" w:rsidP="00814134">
      <w:pPr>
        <w:pStyle w:val="Heading1"/>
      </w:pPr>
      <w:r>
        <w:t>Policy</w:t>
      </w:r>
    </w:p>
    <w:p w:rsidR="00F22CF7" w:rsidRDefault="00853EF3" w:rsidP="00933D38">
      <w:pPr>
        <w:pStyle w:val="numsec1"/>
      </w:pPr>
      <w:r>
        <w:t xml:space="preserve">The </w:t>
      </w:r>
      <w:r w:rsidR="00137C55">
        <w:t xml:space="preserve">Government Information and Communication Technologies Authority encourages the government ministries to </w:t>
      </w:r>
      <w:r w:rsidR="00C5763F">
        <w:t xml:space="preserve">release </w:t>
      </w:r>
      <w:r w:rsidR="00820D44">
        <w:t xml:space="preserve">state-owned </w:t>
      </w:r>
      <w:r w:rsidR="00C5763F">
        <w:t xml:space="preserve">software code </w:t>
      </w:r>
      <w:r w:rsidR="00EE58CF">
        <w:t xml:space="preserve">under </w:t>
      </w:r>
      <w:r w:rsidR="00141AD4">
        <w:t xml:space="preserve">an </w:t>
      </w:r>
      <w:r w:rsidR="00F73C88">
        <w:t>open source license</w:t>
      </w:r>
      <w:r w:rsidR="003A3025">
        <w:t xml:space="preserve"> for the public to use in all </w:t>
      </w:r>
      <w:r w:rsidR="0081057A">
        <w:t xml:space="preserve">places </w:t>
      </w:r>
      <w:r w:rsidR="000D33E0">
        <w:t xml:space="preserve">where it </w:t>
      </w:r>
      <w:r w:rsidR="00933D38">
        <w:t>meets the criteria listed in this guideline.</w:t>
      </w:r>
    </w:p>
    <w:p w:rsidR="001E78F0" w:rsidRDefault="00FC3010" w:rsidP="005E2C93">
      <w:pPr>
        <w:pStyle w:val="numsec1"/>
      </w:pPr>
      <w:r>
        <w:t>Releasing</w:t>
      </w:r>
      <w:r w:rsidR="00695124">
        <w:t xml:space="preserve"> the </w:t>
      </w:r>
      <w:r w:rsidR="00B76D86">
        <w:t xml:space="preserve">code as </w:t>
      </w:r>
      <w:r>
        <w:t xml:space="preserve">open-source code means </w:t>
      </w:r>
      <w:r w:rsidR="003E6B8C">
        <w:t xml:space="preserve">renunciation </w:t>
      </w:r>
      <w:r w:rsidR="004E2832">
        <w:t xml:space="preserve">of the right to prevent </w:t>
      </w:r>
      <w:r w:rsidR="00FA5819">
        <w:t>use of the software code (</w:t>
      </w:r>
      <w:proofErr w:type="gramStart"/>
      <w:r w:rsidR="00FA5819">
        <w:t>as long as</w:t>
      </w:r>
      <w:proofErr w:type="gramEnd"/>
      <w:r w:rsidR="00FA5819">
        <w:t xml:space="preserve"> such use </w:t>
      </w:r>
      <w:r w:rsidR="00183FEE">
        <w:t xml:space="preserve">meets the conditions of </w:t>
      </w:r>
      <w:r w:rsidR="001C52F6">
        <w:t xml:space="preserve">the </w:t>
      </w:r>
      <w:r w:rsidR="00F73C88">
        <w:t>open source license</w:t>
      </w:r>
      <w:r w:rsidR="003E758C">
        <w:t xml:space="preserve">), including </w:t>
      </w:r>
      <w:r w:rsidR="00EA09EE">
        <w:t xml:space="preserve">the right to </w:t>
      </w:r>
      <w:r w:rsidR="00041AA2">
        <w:t xml:space="preserve">demand payment for such use. </w:t>
      </w:r>
      <w:r w:rsidR="00AC284C">
        <w:t xml:space="preserve">The </w:t>
      </w:r>
      <w:r w:rsidR="00201810">
        <w:t xml:space="preserve">Finance Ministry’s accountant general </w:t>
      </w:r>
      <w:r w:rsidR="0087397D">
        <w:t xml:space="preserve">has </w:t>
      </w:r>
      <w:r w:rsidR="00104BFC">
        <w:t xml:space="preserve">authorized </w:t>
      </w:r>
      <w:r w:rsidR="0073200A">
        <w:t>the aforesaid</w:t>
      </w:r>
      <w:r w:rsidR="00104BFC">
        <w:t xml:space="preserve"> renunciation</w:t>
      </w:r>
      <w:r w:rsidR="00EE46C8">
        <w:t xml:space="preserve">, subject to </w:t>
      </w:r>
      <w:r w:rsidR="005E2C93">
        <w:t>its meeting the criteria set forth in this guideline.</w:t>
      </w:r>
    </w:p>
    <w:p w:rsidR="005E2C93" w:rsidRDefault="001E3879" w:rsidP="0061437C">
      <w:pPr>
        <w:pStyle w:val="numsec1"/>
      </w:pPr>
      <w:r>
        <w:lastRenderedPageBreak/>
        <w:t>Th</w:t>
      </w:r>
      <w:r w:rsidR="004700AA">
        <w:t xml:space="preserve">e purpose of this policy is to </w:t>
      </w:r>
      <w:r w:rsidR="00193FEC">
        <w:t xml:space="preserve">enable the </w:t>
      </w:r>
      <w:r w:rsidR="00EF4BCB">
        <w:t xml:space="preserve">release of the </w:t>
      </w:r>
      <w:r w:rsidR="00C3341B">
        <w:t xml:space="preserve">code that was developed </w:t>
      </w:r>
      <w:r w:rsidR="008A25A7">
        <w:t>in government ministries</w:t>
      </w:r>
      <w:r w:rsidR="00CA74F5">
        <w:t xml:space="preserve">, whether by </w:t>
      </w:r>
      <w:r w:rsidR="008B597F">
        <w:t xml:space="preserve">government employees or </w:t>
      </w:r>
      <w:r w:rsidR="00E34569">
        <w:t xml:space="preserve">by </w:t>
      </w:r>
      <w:r w:rsidR="00AC3A41">
        <w:t>service providers</w:t>
      </w:r>
      <w:r w:rsidR="0039240F">
        <w:t xml:space="preserve">. </w:t>
      </w:r>
      <w:r w:rsidR="005755A8">
        <w:t xml:space="preserve">In some cases, </w:t>
      </w:r>
      <w:r w:rsidR="009F442C">
        <w:t xml:space="preserve">publication of the </w:t>
      </w:r>
      <w:r w:rsidR="00C5656F">
        <w:t xml:space="preserve">code of the software systems that were purchased may be </w:t>
      </w:r>
      <w:r w:rsidR="007421BC">
        <w:t xml:space="preserve">permitted. In any case, </w:t>
      </w:r>
      <w:r w:rsidR="00B35425">
        <w:t xml:space="preserve">the </w:t>
      </w:r>
      <w:r w:rsidR="00E675FE">
        <w:t xml:space="preserve">release </w:t>
      </w:r>
      <w:r w:rsidR="00876CC4">
        <w:t xml:space="preserve">of the </w:t>
      </w:r>
      <w:r w:rsidR="0061437C">
        <w:t xml:space="preserve">code shall be subject to the committee’s approval, as </w:t>
      </w:r>
      <w:r w:rsidR="00E76FC2">
        <w:t xml:space="preserve">stipulated in </w:t>
      </w:r>
      <w:r w:rsidR="00B060F5">
        <w:t>Paragraph 6.6.</w:t>
      </w:r>
    </w:p>
    <w:p w:rsidR="00B060F5" w:rsidRDefault="0062409F" w:rsidP="0061437C">
      <w:pPr>
        <w:pStyle w:val="numsec1"/>
      </w:pPr>
      <w:r>
        <w:t xml:space="preserve">Saving on development costs, </w:t>
      </w:r>
      <w:r w:rsidR="00A86F7A">
        <w:t xml:space="preserve">improvement of the quality of the code, enriching the code that is in use, </w:t>
      </w:r>
      <w:r w:rsidR="00F76553">
        <w:t xml:space="preserve">saving on the purchase of licenses, and </w:t>
      </w:r>
      <w:r w:rsidR="007267BB">
        <w:t xml:space="preserve">receiving feedback </w:t>
      </w:r>
      <w:r w:rsidR="00E663C6">
        <w:t xml:space="preserve">from the </w:t>
      </w:r>
      <w:r w:rsidR="00B53505">
        <w:t>developer community</w:t>
      </w:r>
      <w:r w:rsidR="005339B9">
        <w:t xml:space="preserve">, </w:t>
      </w:r>
      <w:proofErr w:type="gramStart"/>
      <w:r w:rsidR="00C45E86">
        <w:t>in order to</w:t>
      </w:r>
      <w:proofErr w:type="gramEnd"/>
      <w:r w:rsidR="00C45E86">
        <w:t xml:space="preserve"> </w:t>
      </w:r>
      <w:r w:rsidR="00551EEC">
        <w:t xml:space="preserve">improve the code and </w:t>
      </w:r>
      <w:r w:rsidR="009632D2">
        <w:t>spot vulnerabilities,</w:t>
      </w:r>
      <w:r w:rsidR="00B53505">
        <w:t xml:space="preserve"> </w:t>
      </w:r>
      <w:r w:rsidR="00761334">
        <w:t xml:space="preserve">are among the benefits </w:t>
      </w:r>
      <w:r w:rsidR="005339B9">
        <w:t>of releasing the code</w:t>
      </w:r>
      <w:r w:rsidR="009632D2">
        <w:t>.</w:t>
      </w:r>
    </w:p>
    <w:p w:rsidR="003D4500" w:rsidRDefault="00841391" w:rsidP="001E10CC">
      <w:pPr>
        <w:pStyle w:val="numsec1"/>
      </w:pPr>
      <w:r>
        <w:t xml:space="preserve">Portions of the project or system </w:t>
      </w:r>
      <w:r w:rsidR="00182808">
        <w:t xml:space="preserve">that </w:t>
      </w:r>
      <w:r w:rsidR="001E10CC">
        <w:t>are published shall be unclassified only.</w:t>
      </w:r>
    </w:p>
    <w:p w:rsidR="001E10CC" w:rsidRDefault="00BB0953" w:rsidP="002F515F">
      <w:pPr>
        <w:pStyle w:val="numsec1"/>
      </w:pPr>
      <w:r>
        <w:t xml:space="preserve">The </w:t>
      </w:r>
      <w:r w:rsidR="00CB6829">
        <w:t xml:space="preserve">publication of the </w:t>
      </w:r>
      <w:r w:rsidR="001F3E68">
        <w:t xml:space="preserve">open-source code shall be done in a manner that prevents </w:t>
      </w:r>
      <w:r w:rsidR="005E5F58">
        <w:t xml:space="preserve">harm to the components of information security and cyber </w:t>
      </w:r>
      <w:r w:rsidR="002F515F">
        <w:t>defense</w:t>
      </w:r>
      <w:r w:rsidR="00D60118">
        <w:t>.</w:t>
      </w:r>
    </w:p>
    <w:p w:rsidR="00D60118" w:rsidRDefault="006C4324" w:rsidP="001E10CC">
      <w:pPr>
        <w:pStyle w:val="numsec1"/>
      </w:pPr>
      <w:r>
        <w:t xml:space="preserve">The legal aspect, </w:t>
      </w:r>
      <w:r w:rsidR="001F35C5">
        <w:t xml:space="preserve">property rights, and </w:t>
      </w:r>
      <w:r w:rsidR="00500294">
        <w:t>licenses:</w:t>
      </w:r>
    </w:p>
    <w:p w:rsidR="008237F6" w:rsidRDefault="009258FB" w:rsidP="00C82B63">
      <w:pPr>
        <w:pStyle w:val="numsec2"/>
      </w:pPr>
      <w:r>
        <w:t xml:space="preserve">This guideline </w:t>
      </w:r>
      <w:r w:rsidR="00C82B63">
        <w:t xml:space="preserve">deals exclusively with </w:t>
      </w:r>
      <w:r w:rsidR="005C59B9">
        <w:t xml:space="preserve">releasing code </w:t>
      </w:r>
      <w:r w:rsidR="006102E5">
        <w:t xml:space="preserve">whose intellectual </w:t>
      </w:r>
      <w:r w:rsidR="009A7C06">
        <w:t>property rights</w:t>
      </w:r>
      <w:r w:rsidR="00031A27">
        <w:t xml:space="preserve">, particularly </w:t>
      </w:r>
      <w:r w:rsidR="008F3B29">
        <w:t xml:space="preserve">its copyright </w:t>
      </w:r>
      <w:r w:rsidR="002E1348">
        <w:t xml:space="preserve">as </w:t>
      </w:r>
      <w:r w:rsidR="00FE569B">
        <w:t xml:space="preserve">set forth in the </w:t>
      </w:r>
      <w:r w:rsidR="00E87EBD">
        <w:t>Copyright Act of 2007</w:t>
      </w:r>
      <w:r w:rsidR="00B85BA4">
        <w:t xml:space="preserve">, </w:t>
      </w:r>
      <w:r w:rsidR="00744807">
        <w:t xml:space="preserve">are owned by the state. </w:t>
      </w:r>
      <w:r w:rsidR="008E6B0A">
        <w:t xml:space="preserve">When there is </w:t>
      </w:r>
      <w:r w:rsidR="00352FAA">
        <w:t xml:space="preserve">doubt as to the identity of the </w:t>
      </w:r>
      <w:r w:rsidR="00EA169B">
        <w:t xml:space="preserve">owner of the </w:t>
      </w:r>
      <w:r w:rsidR="00DE0D3E">
        <w:t xml:space="preserve">intellectual property rights of the software code, </w:t>
      </w:r>
      <w:r w:rsidR="003179C0">
        <w:t xml:space="preserve">the </w:t>
      </w:r>
      <w:r w:rsidR="00EE426A">
        <w:t xml:space="preserve">ministry’s </w:t>
      </w:r>
      <w:r w:rsidR="00545422">
        <w:t xml:space="preserve">legal </w:t>
      </w:r>
      <w:r w:rsidR="00EE426A">
        <w:t>bureau must be consulted.</w:t>
      </w:r>
    </w:p>
    <w:p w:rsidR="00664F3C" w:rsidRDefault="00332233" w:rsidP="005D4F6B">
      <w:pPr>
        <w:pStyle w:val="numsec2"/>
      </w:pPr>
      <w:r>
        <w:t xml:space="preserve">Sharing </w:t>
      </w:r>
      <w:r w:rsidR="005D4F6B">
        <w:t>the code that has been developed based on open-source code:</w:t>
      </w:r>
    </w:p>
    <w:p w:rsidR="000525C1" w:rsidRDefault="00B314DE" w:rsidP="00863A5B">
      <w:pPr>
        <w:pStyle w:val="indent2"/>
      </w:pPr>
      <w:r>
        <w:t xml:space="preserve">When </w:t>
      </w:r>
      <w:r w:rsidR="00C0507E">
        <w:t xml:space="preserve">software developed by </w:t>
      </w:r>
      <w:r w:rsidR="000B70E5">
        <w:t xml:space="preserve">or for the state </w:t>
      </w:r>
      <w:proofErr w:type="gramStart"/>
      <w:r w:rsidR="00F326FE">
        <w:t>on the basis of</w:t>
      </w:r>
      <w:proofErr w:type="gramEnd"/>
      <w:r w:rsidR="00F326FE">
        <w:t xml:space="preserve"> original code </w:t>
      </w:r>
      <w:r w:rsidR="00490ECA">
        <w:t xml:space="preserve">that is based on open-source code, </w:t>
      </w:r>
      <w:r w:rsidR="00DE6462">
        <w:t xml:space="preserve">there is room </w:t>
      </w:r>
      <w:r w:rsidR="00647A67">
        <w:t xml:space="preserve">for a precise examination </w:t>
      </w:r>
      <w:r w:rsidR="001D6895">
        <w:t xml:space="preserve">of the issue of </w:t>
      </w:r>
      <w:r w:rsidR="00057658">
        <w:t xml:space="preserve">copyright ownership of the code that was developed, as well as the </w:t>
      </w:r>
      <w:r w:rsidR="008649B8">
        <w:t xml:space="preserve">obligations </w:t>
      </w:r>
      <w:r w:rsidR="00522960">
        <w:t xml:space="preserve">that devolve upon </w:t>
      </w:r>
      <w:r w:rsidR="00EB52A6">
        <w:t xml:space="preserve">the user of the code according to </w:t>
      </w:r>
      <w:r w:rsidR="000635A7">
        <w:t xml:space="preserve">the </w:t>
      </w:r>
      <w:r w:rsidR="00863A5B">
        <w:t xml:space="preserve">license to use the code. In this context, </w:t>
      </w:r>
      <w:r w:rsidR="00FB59CC">
        <w:t xml:space="preserve">a distinction must be made between </w:t>
      </w:r>
      <w:r w:rsidR="000E4DBF">
        <w:t xml:space="preserve">the </w:t>
      </w:r>
      <w:r w:rsidR="00622A76">
        <w:t xml:space="preserve">various </w:t>
      </w:r>
      <w:r w:rsidR="001B6751">
        <w:t xml:space="preserve">kinds of typical licenses </w:t>
      </w:r>
      <w:r w:rsidR="00622A76">
        <w:t xml:space="preserve">of </w:t>
      </w:r>
      <w:r w:rsidR="000B74B3">
        <w:t>open-source code:</w:t>
      </w:r>
    </w:p>
    <w:p w:rsidR="00B83057" w:rsidRDefault="00B83057" w:rsidP="00AB4BFE">
      <w:pPr>
        <w:pStyle w:val="numsec3"/>
      </w:pPr>
      <w:r>
        <w:t xml:space="preserve">A license </w:t>
      </w:r>
      <w:r w:rsidR="007129A3">
        <w:t xml:space="preserve">that permits the purchase of </w:t>
      </w:r>
      <w:r w:rsidR="00520324">
        <w:t xml:space="preserve">intellectual property rights </w:t>
      </w:r>
      <w:r w:rsidR="00790146">
        <w:t xml:space="preserve">of derivative works </w:t>
      </w:r>
      <w:proofErr w:type="gramStart"/>
      <w:r w:rsidR="00790146" w:rsidRPr="00191847">
        <w:rPr>
          <w:i/>
          <w:iCs/>
        </w:rPr>
        <w:t>on the basis of</w:t>
      </w:r>
      <w:proofErr w:type="gramEnd"/>
      <w:r w:rsidR="00790146" w:rsidRPr="00191847">
        <w:rPr>
          <w:i/>
          <w:iCs/>
        </w:rPr>
        <w:t xml:space="preserve"> the original code (changes and adaptations </w:t>
      </w:r>
      <w:r w:rsidR="00F060A3" w:rsidRPr="00191847">
        <w:rPr>
          <w:i/>
          <w:iCs/>
        </w:rPr>
        <w:t xml:space="preserve">that have been made </w:t>
      </w:r>
      <w:r w:rsidR="00EB1881" w:rsidRPr="00191847">
        <w:rPr>
          <w:i/>
          <w:iCs/>
        </w:rPr>
        <w:t xml:space="preserve">in </w:t>
      </w:r>
      <w:r w:rsidR="000E3B4E" w:rsidRPr="00191847">
        <w:rPr>
          <w:i/>
          <w:iCs/>
        </w:rPr>
        <w:t xml:space="preserve">its content) without </w:t>
      </w:r>
      <w:r w:rsidR="004671B1" w:rsidRPr="00191847">
        <w:rPr>
          <w:i/>
          <w:iCs/>
        </w:rPr>
        <w:t xml:space="preserve">imposing </w:t>
      </w:r>
      <w:r w:rsidR="00AB463D" w:rsidRPr="00191847">
        <w:rPr>
          <w:i/>
          <w:iCs/>
        </w:rPr>
        <w:t>substantial restrictions</w:t>
      </w:r>
      <w:r w:rsidR="00AB463D">
        <w:t xml:space="preserve"> upon the </w:t>
      </w:r>
      <w:r w:rsidR="00191847">
        <w:t>use of the code.</w:t>
      </w:r>
      <w:r w:rsidR="00FA11A5">
        <w:t xml:space="preserve"> </w:t>
      </w:r>
      <w:r w:rsidR="007F6DA4">
        <w:t xml:space="preserve">An example of this </w:t>
      </w:r>
      <w:r w:rsidR="00C34281">
        <w:t xml:space="preserve">is </w:t>
      </w:r>
      <w:r w:rsidR="0013168F">
        <w:t xml:space="preserve">the Creative Commons License, </w:t>
      </w:r>
      <w:r w:rsidR="00D9208B">
        <w:t xml:space="preserve">which applies to </w:t>
      </w:r>
      <w:r w:rsidR="001772AC">
        <w:t xml:space="preserve">products such as </w:t>
      </w:r>
      <w:r w:rsidR="00157D20">
        <w:t>Analytics Reporter</w:t>
      </w:r>
      <w:r w:rsidR="0058168F">
        <w:t>.</w:t>
      </w:r>
      <w:r w:rsidR="00517D64">
        <w:t xml:space="preserve"> </w:t>
      </w:r>
      <w:r w:rsidR="00FF32C6">
        <w:t xml:space="preserve">As a rule, </w:t>
      </w:r>
      <w:r w:rsidR="00510853">
        <w:t xml:space="preserve">in </w:t>
      </w:r>
      <w:r w:rsidR="00D079C2">
        <w:t xml:space="preserve">such a case </w:t>
      </w:r>
      <w:r w:rsidR="0037347A">
        <w:t xml:space="preserve">the code that was developed is state-owned, and </w:t>
      </w:r>
      <w:r w:rsidR="00C10D82">
        <w:t xml:space="preserve">subject to no </w:t>
      </w:r>
      <w:r w:rsidR="00021017">
        <w:t xml:space="preserve">substantial restrictions on its release to the public under </w:t>
      </w:r>
      <w:r w:rsidR="003A6D97">
        <w:t xml:space="preserve">an open-source </w:t>
      </w:r>
      <w:r w:rsidR="0087799B">
        <w:t>license</w:t>
      </w:r>
      <w:r w:rsidR="00401591">
        <w:t xml:space="preserve">, which shall be done </w:t>
      </w:r>
      <w:r w:rsidR="00093AAD">
        <w:t xml:space="preserve">according to the judgment of the ministry </w:t>
      </w:r>
      <w:r w:rsidR="009F66CA">
        <w:t xml:space="preserve">that developed the code, subject </w:t>
      </w:r>
      <w:r w:rsidR="00C95F1E">
        <w:t xml:space="preserve">to </w:t>
      </w:r>
      <w:r w:rsidR="002B7353">
        <w:t xml:space="preserve">the </w:t>
      </w:r>
      <w:r w:rsidR="00AB4BFE">
        <w:t>instructions set forth in this guideline.</w:t>
      </w:r>
    </w:p>
    <w:p w:rsidR="005163B0" w:rsidRDefault="00E80861" w:rsidP="002D7A59">
      <w:pPr>
        <w:pStyle w:val="numsec3"/>
      </w:pPr>
      <w:r>
        <w:t xml:space="preserve">A license that allows the purchase of the intellectual property rights of derivative works that were created </w:t>
      </w:r>
      <w:r w:rsidRPr="0067616E">
        <w:rPr>
          <w:i/>
          <w:iCs/>
        </w:rPr>
        <w:t xml:space="preserve">on the basis of the original code, </w:t>
      </w:r>
      <w:r w:rsidR="00A53956" w:rsidRPr="0067616E">
        <w:rPr>
          <w:i/>
          <w:iCs/>
        </w:rPr>
        <w:t xml:space="preserve">with a </w:t>
      </w:r>
      <w:r w:rsidR="0067616E" w:rsidRPr="0067616E">
        <w:rPr>
          <w:i/>
          <w:iCs/>
        </w:rPr>
        <w:t>commitment</w:t>
      </w:r>
      <w:r w:rsidR="00A53956" w:rsidRPr="0067616E">
        <w:rPr>
          <w:i/>
          <w:iCs/>
        </w:rPr>
        <w:t xml:space="preserve"> to </w:t>
      </w:r>
      <w:r w:rsidR="004066ED" w:rsidRPr="0067616E">
        <w:rPr>
          <w:i/>
          <w:iCs/>
        </w:rPr>
        <w:t>make derivative works</w:t>
      </w:r>
      <w:r w:rsidR="004066ED" w:rsidRPr="00A85FEE">
        <w:rPr>
          <w:i/>
          <w:iCs/>
        </w:rPr>
        <w:t xml:space="preserve"> </w:t>
      </w:r>
      <w:r w:rsidR="0067616E" w:rsidRPr="00A85FEE">
        <w:rPr>
          <w:i/>
          <w:iCs/>
        </w:rPr>
        <w:t xml:space="preserve">created on the basis of the code </w:t>
      </w:r>
      <w:r w:rsidR="004066ED" w:rsidRPr="00A85FEE">
        <w:rPr>
          <w:i/>
          <w:iCs/>
        </w:rPr>
        <w:t>available to the general public in certain cases</w:t>
      </w:r>
      <w:r w:rsidR="00A85FEE">
        <w:rPr>
          <w:i/>
          <w:iCs/>
        </w:rPr>
        <w:t xml:space="preserve">, </w:t>
      </w:r>
      <w:r w:rsidR="004914A8">
        <w:t>under the conditions of the same license</w:t>
      </w:r>
      <w:r w:rsidR="00C41702">
        <w:t xml:space="preserve"> — f</w:t>
      </w:r>
      <w:r w:rsidR="00464F6F">
        <w:t xml:space="preserve">or example, </w:t>
      </w:r>
      <w:r w:rsidR="00C747C7">
        <w:t xml:space="preserve">a license of the type </w:t>
      </w:r>
      <w:r w:rsidR="007A72B0">
        <w:t>G</w:t>
      </w:r>
      <w:r w:rsidR="00020E8C">
        <w:t>NU</w:t>
      </w:r>
      <w:r w:rsidR="007A72B0">
        <w:t xml:space="preserve"> </w:t>
      </w:r>
      <w:proofErr w:type="spellStart"/>
      <w:r w:rsidR="007A72B0">
        <w:t>Affero</w:t>
      </w:r>
      <w:proofErr w:type="spellEnd"/>
      <w:r w:rsidR="007A72B0">
        <w:t xml:space="preserve"> General Public License v.3 (AGPL v3)</w:t>
      </w:r>
      <w:r w:rsidR="00E965C8">
        <w:t xml:space="preserve">, which applies to </w:t>
      </w:r>
      <w:r w:rsidR="00C41702">
        <w:t xml:space="preserve">products such as CKAN or </w:t>
      </w:r>
      <w:proofErr w:type="spellStart"/>
      <w:r w:rsidR="00C41702">
        <w:t>OpenEMR</w:t>
      </w:r>
      <w:proofErr w:type="spellEnd"/>
      <w:r w:rsidR="00C41702">
        <w:t>.</w:t>
      </w:r>
      <w:r w:rsidR="00B733D6">
        <w:t xml:space="preserve"> This license </w:t>
      </w:r>
      <w:r w:rsidR="00C54788">
        <w:t xml:space="preserve">requires the holder to </w:t>
      </w:r>
      <w:r w:rsidR="00003F9F">
        <w:t xml:space="preserve">make derivative works based on the </w:t>
      </w:r>
      <w:r w:rsidR="00474A65">
        <w:t xml:space="preserve">code </w:t>
      </w:r>
      <w:r w:rsidR="00C47A76">
        <w:t xml:space="preserve">that </w:t>
      </w:r>
      <w:r w:rsidR="00A36227">
        <w:t xml:space="preserve">operate on a </w:t>
      </w:r>
      <w:r w:rsidR="00E06734">
        <w:t xml:space="preserve">server to users who </w:t>
      </w:r>
      <w:r w:rsidR="00CA3605">
        <w:t xml:space="preserve">interface with </w:t>
      </w:r>
      <w:r w:rsidR="00582BFA">
        <w:t xml:space="preserve">the server </w:t>
      </w:r>
      <w:r w:rsidR="00CD66A4">
        <w:t xml:space="preserve">using a computer </w:t>
      </w:r>
      <w:r w:rsidR="00CD66A4">
        <w:lastRenderedPageBreak/>
        <w:t>network (</w:t>
      </w:r>
      <w:proofErr w:type="gramStart"/>
      <w:r w:rsidR="005067AB">
        <w:t>as long as</w:t>
      </w:r>
      <w:proofErr w:type="gramEnd"/>
      <w:r w:rsidR="005067AB">
        <w:t xml:space="preserve"> the software </w:t>
      </w:r>
      <w:r w:rsidR="008627CC">
        <w:t>enables such an interface)</w:t>
      </w:r>
      <w:r w:rsidR="00A65B2E">
        <w:t xml:space="preserve">, </w:t>
      </w:r>
      <w:r w:rsidR="007860FE">
        <w:t xml:space="preserve">under the conditions of the license. </w:t>
      </w:r>
      <w:r w:rsidR="00ED4201">
        <w:t xml:space="preserve">In such a case, </w:t>
      </w:r>
      <w:r w:rsidR="00FC2EEA">
        <w:t xml:space="preserve">releasing the code under the conditions of the </w:t>
      </w:r>
      <w:r w:rsidR="00DB2DAC">
        <w:t xml:space="preserve">open-source license is not a choice of the ministry, but the </w:t>
      </w:r>
      <w:r w:rsidR="00BD39F3">
        <w:rPr>
          <w:i/>
          <w:iCs/>
        </w:rPr>
        <w:t>fulfillment</w:t>
      </w:r>
      <w:r w:rsidR="0098376A" w:rsidRPr="00033871">
        <w:rPr>
          <w:i/>
          <w:iCs/>
        </w:rPr>
        <w:t xml:space="preserve"> of an obligation </w:t>
      </w:r>
      <w:r w:rsidR="00033871" w:rsidRPr="00033871">
        <w:rPr>
          <w:i/>
          <w:iCs/>
        </w:rPr>
        <w:t xml:space="preserve">that the ministry </w:t>
      </w:r>
      <w:r w:rsidR="005A14EC">
        <w:rPr>
          <w:i/>
          <w:iCs/>
        </w:rPr>
        <w:t>imposed</w:t>
      </w:r>
      <w:r w:rsidR="00033871" w:rsidRPr="00033871">
        <w:rPr>
          <w:i/>
          <w:iCs/>
        </w:rPr>
        <w:t xml:space="preserve"> upon itself</w:t>
      </w:r>
      <w:r w:rsidR="00033871">
        <w:t xml:space="preserve"> when it chose </w:t>
      </w:r>
      <w:r w:rsidR="00AD1F7E">
        <w:t xml:space="preserve">to develop </w:t>
      </w:r>
      <w:r w:rsidR="00024AAE">
        <w:t xml:space="preserve">software </w:t>
      </w:r>
      <w:proofErr w:type="gramStart"/>
      <w:r w:rsidR="00024AAE">
        <w:t>on the basis of</w:t>
      </w:r>
      <w:proofErr w:type="gramEnd"/>
      <w:r w:rsidR="00024AAE">
        <w:t xml:space="preserve"> </w:t>
      </w:r>
      <w:r w:rsidR="00EB68FD">
        <w:t xml:space="preserve">a software product that was subject to such a use license. </w:t>
      </w:r>
      <w:r w:rsidR="003B5F37">
        <w:t xml:space="preserve">Accordingly, </w:t>
      </w:r>
      <w:r w:rsidR="00E93525" w:rsidRPr="00D44265">
        <w:rPr>
          <w:i/>
          <w:iCs/>
        </w:rPr>
        <w:t xml:space="preserve">this guideline does not apply to cases of this </w:t>
      </w:r>
      <w:r w:rsidR="00D44265">
        <w:rPr>
          <w:i/>
          <w:iCs/>
        </w:rPr>
        <w:t>sort</w:t>
      </w:r>
      <w:r w:rsidR="00D44265" w:rsidRPr="00D44265">
        <w:rPr>
          <w:i/>
          <w:iCs/>
        </w:rPr>
        <w:t>,</w:t>
      </w:r>
      <w:r w:rsidR="007A1DC2">
        <w:t xml:space="preserve"> since, as stated, </w:t>
      </w:r>
      <w:r w:rsidR="00762B39">
        <w:t xml:space="preserve">they do not </w:t>
      </w:r>
      <w:r w:rsidR="004F0970">
        <w:t xml:space="preserve">reflect a choice to release code, but rather the </w:t>
      </w:r>
      <w:r w:rsidR="00BD39F3">
        <w:t xml:space="preserve">fulfillment of </w:t>
      </w:r>
      <w:r w:rsidR="00C801CF">
        <w:t xml:space="preserve">an </w:t>
      </w:r>
      <w:r w:rsidR="00367C5F">
        <w:t xml:space="preserve">obligation to do so. </w:t>
      </w:r>
      <w:r w:rsidR="000D053E">
        <w:t xml:space="preserve">In addition to this, </w:t>
      </w:r>
      <w:r w:rsidR="002D7A59">
        <w:t xml:space="preserve">the choice to develop </w:t>
      </w:r>
      <w:proofErr w:type="gramStart"/>
      <w:r w:rsidR="002D7A59">
        <w:t>on the basis of</w:t>
      </w:r>
      <w:proofErr w:type="gramEnd"/>
      <w:r w:rsidR="002D7A59">
        <w:t xml:space="preserve"> a software product that is subject to this sort of user license </w:t>
      </w:r>
      <w:r w:rsidR="006720ED">
        <w:t xml:space="preserve">is subject to </w:t>
      </w:r>
      <w:r w:rsidR="0008167A">
        <w:t xml:space="preserve">Guideline No. </w:t>
      </w:r>
      <w:r w:rsidR="00626D22">
        <w:t xml:space="preserve">7.3.02 — Policy of Use of </w:t>
      </w:r>
      <w:r w:rsidR="00E11A4F">
        <w:t>Open-Source Code Solutions.</w:t>
      </w:r>
    </w:p>
    <w:p w:rsidR="00E11A4F" w:rsidRDefault="00513594" w:rsidP="006951E8">
      <w:pPr>
        <w:pStyle w:val="indent2"/>
      </w:pPr>
      <w:r>
        <w:t xml:space="preserve">In any case, it must be </w:t>
      </w:r>
      <w:r w:rsidR="00F572D7">
        <w:t xml:space="preserve">ascertained that the </w:t>
      </w:r>
      <w:r w:rsidR="00D11F68">
        <w:t xml:space="preserve">release of the code that was developed </w:t>
      </w:r>
      <w:proofErr w:type="gramStart"/>
      <w:r w:rsidR="00D11F68">
        <w:t>on the basis of</w:t>
      </w:r>
      <w:proofErr w:type="gramEnd"/>
      <w:r w:rsidR="00D11F68">
        <w:t xml:space="preserve"> </w:t>
      </w:r>
      <w:r w:rsidR="00104614">
        <w:t>open-source</w:t>
      </w:r>
      <w:r w:rsidR="00116F24">
        <w:t xml:space="preserve"> code is </w:t>
      </w:r>
      <w:r w:rsidR="002F0871">
        <w:t xml:space="preserve">done </w:t>
      </w:r>
      <w:r w:rsidR="006A4666">
        <w:t xml:space="preserve">in accordance with the conditions of the license </w:t>
      </w:r>
      <w:r w:rsidR="004631B8">
        <w:t xml:space="preserve">according to </w:t>
      </w:r>
      <w:r w:rsidR="00A81EB4">
        <w:t xml:space="preserve">whose conditions </w:t>
      </w:r>
      <w:r w:rsidR="009543A0">
        <w:t xml:space="preserve">the open-source code </w:t>
      </w:r>
      <w:r w:rsidR="00085522">
        <w:t xml:space="preserve">intended for release </w:t>
      </w:r>
      <w:r w:rsidR="00EB468A">
        <w:t xml:space="preserve">in accordance with this guideline </w:t>
      </w:r>
      <w:r w:rsidR="009543A0">
        <w:t>was developed</w:t>
      </w:r>
      <w:r w:rsidR="00EB468A">
        <w:t xml:space="preserve">. </w:t>
      </w:r>
      <w:r w:rsidR="00E34D14">
        <w:t xml:space="preserve">For example, if </w:t>
      </w:r>
      <w:r w:rsidR="005A3123">
        <w:t xml:space="preserve">code </w:t>
      </w:r>
      <w:r w:rsidR="007F0348">
        <w:t xml:space="preserve">that was </w:t>
      </w:r>
      <w:r w:rsidR="006951E8">
        <w:t xml:space="preserve">derived from </w:t>
      </w:r>
      <w:r w:rsidR="00881D7E">
        <w:t xml:space="preserve">open-source code </w:t>
      </w:r>
      <w:r w:rsidR="001E734E">
        <w:t xml:space="preserve">released under a GPL license is made accessible, </w:t>
      </w:r>
      <w:r w:rsidR="0090414C">
        <w:t xml:space="preserve">it must be ascertained </w:t>
      </w:r>
      <w:r w:rsidR="00DB65F8">
        <w:t xml:space="preserve">that the conditions of the release meet the requirements </w:t>
      </w:r>
      <w:r w:rsidR="000B39D8">
        <w:t xml:space="preserve">of the relevant version of the GPL license </w:t>
      </w:r>
      <w:r w:rsidR="004A0CCA">
        <w:t xml:space="preserve">according to which access to the original code was </w:t>
      </w:r>
      <w:r w:rsidR="00DB7222">
        <w:t>granted.</w:t>
      </w:r>
    </w:p>
    <w:p w:rsidR="00D0710F" w:rsidRDefault="00C0653A" w:rsidP="00D0710F">
      <w:pPr>
        <w:pStyle w:val="Heading1"/>
      </w:pPr>
      <w:r>
        <w:t>Publication Process of the Project/Code System to the Public</w:t>
      </w:r>
    </w:p>
    <w:p w:rsidR="00BC08DC" w:rsidRDefault="000957D6" w:rsidP="0057605B">
      <w:pPr>
        <w:pStyle w:val="numsec1"/>
      </w:pPr>
      <w:r>
        <w:t xml:space="preserve">The security officials of the ministry publicizing the </w:t>
      </w:r>
      <w:r w:rsidR="00AC4513">
        <w:t xml:space="preserve">code must confirm that the code and </w:t>
      </w:r>
      <w:r w:rsidR="0012754C">
        <w:t xml:space="preserve">the </w:t>
      </w:r>
      <w:r w:rsidR="0060729B">
        <w:t xml:space="preserve">database schema </w:t>
      </w:r>
      <w:r w:rsidR="001C0760">
        <w:t xml:space="preserve">have undergone </w:t>
      </w:r>
      <w:r w:rsidR="002D0AEA">
        <w:t xml:space="preserve">a </w:t>
      </w:r>
      <w:r w:rsidR="000E471A">
        <w:t xml:space="preserve">redaction process in which </w:t>
      </w:r>
      <w:r w:rsidR="00C129E4">
        <w:t>items</w:t>
      </w:r>
      <w:r w:rsidR="00762836">
        <w:t xml:space="preserve"> that might </w:t>
      </w:r>
      <w:r w:rsidR="004A28CE">
        <w:t xml:space="preserve">compromise </w:t>
      </w:r>
      <w:r w:rsidR="00C129E4">
        <w:t xml:space="preserve">information security or privacy have been removed. </w:t>
      </w:r>
      <w:r w:rsidR="00DD015E">
        <w:t xml:space="preserve">Among these items, </w:t>
      </w:r>
      <w:r w:rsidR="0057605B">
        <w:t xml:space="preserve">the following subjects should receive </w:t>
      </w:r>
      <w:proofErr w:type="gramStart"/>
      <w:r w:rsidR="0057605B">
        <w:t>particular emphasis</w:t>
      </w:r>
      <w:proofErr w:type="gramEnd"/>
      <w:r w:rsidR="00FA7611">
        <w:t>:</w:t>
      </w:r>
    </w:p>
    <w:p w:rsidR="00FA7611" w:rsidRDefault="003C35DD" w:rsidP="00FA7611">
      <w:pPr>
        <w:pStyle w:val="numsec2"/>
      </w:pPr>
      <w:r>
        <w:t>Authentication/identification information (including usernames)</w:t>
      </w:r>
      <w:r w:rsidR="002167DD">
        <w:t xml:space="preserve"> contained in the code.</w:t>
      </w:r>
    </w:p>
    <w:p w:rsidR="002167DD" w:rsidRDefault="00407F7A" w:rsidP="00304836">
      <w:pPr>
        <w:pStyle w:val="numsec2"/>
      </w:pPr>
      <w:r>
        <w:t xml:space="preserve">Names of servers </w:t>
      </w:r>
      <w:r w:rsidR="00304836">
        <w:t>where the code to be publicized has been used.</w:t>
      </w:r>
    </w:p>
    <w:p w:rsidR="00304836" w:rsidRDefault="00304836" w:rsidP="00304836">
      <w:pPr>
        <w:pStyle w:val="numsec2"/>
      </w:pPr>
      <w:r>
        <w:t>IP or DNS addresses that are not public.</w:t>
      </w:r>
    </w:p>
    <w:p w:rsidR="00304836" w:rsidRDefault="00AB25D5" w:rsidP="00304836">
      <w:pPr>
        <w:pStyle w:val="numsec2"/>
      </w:pPr>
      <w:r>
        <w:t>System/network architecture.</w:t>
      </w:r>
    </w:p>
    <w:p w:rsidR="00AB25D5" w:rsidRDefault="005E4994" w:rsidP="00304836">
      <w:pPr>
        <w:pStyle w:val="numsec2"/>
      </w:pPr>
      <w:r>
        <w:t xml:space="preserve">Sensitive information — </w:t>
      </w:r>
      <w:r w:rsidR="00184FFD">
        <w:t>any sensitive information, such as:</w:t>
      </w:r>
    </w:p>
    <w:p w:rsidR="00184FFD" w:rsidRDefault="00281030" w:rsidP="008F0A3D">
      <w:pPr>
        <w:pStyle w:val="numsec3"/>
      </w:pPr>
      <w:r>
        <w:t xml:space="preserve">Names of </w:t>
      </w:r>
      <w:r w:rsidR="008F0A3D">
        <w:t>office-holders</w:t>
      </w:r>
    </w:p>
    <w:p w:rsidR="008F0A3D" w:rsidRDefault="00750219" w:rsidP="008F0A3D">
      <w:pPr>
        <w:pStyle w:val="numsec3"/>
      </w:pPr>
      <w:r>
        <w:t>E-mail addresses</w:t>
      </w:r>
    </w:p>
    <w:p w:rsidR="00750219" w:rsidRDefault="00F00E05" w:rsidP="008F0A3D">
      <w:pPr>
        <w:pStyle w:val="numsec3"/>
      </w:pPr>
      <w:r>
        <w:t>Business information</w:t>
      </w:r>
    </w:p>
    <w:p w:rsidR="00F00E05" w:rsidRDefault="00B87647" w:rsidP="00780F23">
      <w:pPr>
        <w:pStyle w:val="numsec3"/>
      </w:pPr>
      <w:r>
        <w:t xml:space="preserve">Systems </w:t>
      </w:r>
      <w:r w:rsidR="00780F23">
        <w:t>settings that have to do with information security</w:t>
      </w:r>
    </w:p>
    <w:p w:rsidR="00780F23" w:rsidRDefault="004E35C2" w:rsidP="00FA226E">
      <w:pPr>
        <w:pStyle w:val="numsec3"/>
      </w:pPr>
      <w:r>
        <w:t xml:space="preserve">Dedicated code </w:t>
      </w:r>
      <w:r w:rsidR="004B36E3">
        <w:t xml:space="preserve">that </w:t>
      </w:r>
      <w:r w:rsidR="00145E37">
        <w:t xml:space="preserve">serves as a component </w:t>
      </w:r>
      <w:r w:rsidR="00FA226E">
        <w:t xml:space="preserve">of defense and is </w:t>
      </w:r>
      <w:r w:rsidR="00E45D71">
        <w:t>defined as classified</w:t>
      </w:r>
    </w:p>
    <w:p w:rsidR="00E45D71" w:rsidRDefault="009C5498" w:rsidP="00F86F5C">
      <w:pPr>
        <w:pStyle w:val="numsec3"/>
      </w:pPr>
      <w:r>
        <w:t xml:space="preserve">Systems/Infrastructure </w:t>
      </w:r>
      <w:r w:rsidR="00F86F5C">
        <w:t>H</w:t>
      </w:r>
      <w:r>
        <w:t>ardening</w:t>
      </w:r>
    </w:p>
    <w:p w:rsidR="00917D30" w:rsidRDefault="004A7572" w:rsidP="008E7575">
      <w:pPr>
        <w:pStyle w:val="numsec1"/>
      </w:pPr>
      <w:r>
        <w:lastRenderedPageBreak/>
        <w:t xml:space="preserve">Use of </w:t>
      </w:r>
      <w:r w:rsidR="00D91AE0">
        <w:t xml:space="preserve">an open-source code-sharing platform — At this stage, </w:t>
      </w:r>
      <w:proofErr w:type="gramStart"/>
      <w:r w:rsidR="00D91AE0">
        <w:t>in order to</w:t>
      </w:r>
      <w:proofErr w:type="gramEnd"/>
      <w:r w:rsidR="00D91AE0">
        <w:t xml:space="preserve"> encourage adoption of this policy, </w:t>
      </w:r>
      <w:r w:rsidR="00B20558">
        <w:t xml:space="preserve">this subject shall </w:t>
      </w:r>
      <w:r w:rsidR="00D3213F">
        <w:t xml:space="preserve">be given a </w:t>
      </w:r>
      <w:r w:rsidR="00B376AC">
        <w:t xml:space="preserve">major role and </w:t>
      </w:r>
      <w:r w:rsidR="00922235">
        <w:t xml:space="preserve">a user account shall be </w:t>
      </w:r>
      <w:r w:rsidR="007C4DDE">
        <w:t xml:space="preserve">given to the </w:t>
      </w:r>
      <w:r w:rsidR="00B23690">
        <w:t xml:space="preserve">ministries by the </w:t>
      </w:r>
      <w:r w:rsidR="002129EE">
        <w:t>Government Information and Communication Technologies Authority</w:t>
      </w:r>
      <w:r w:rsidR="000607B4">
        <w:t xml:space="preserve">. Publication of the code on the sharing platforms shall be done by </w:t>
      </w:r>
      <w:r w:rsidR="00044225">
        <w:t xml:space="preserve">users who represent the ministry, who shall be given the option </w:t>
      </w:r>
      <w:r w:rsidR="0045788A">
        <w:t xml:space="preserve">of </w:t>
      </w:r>
      <w:r w:rsidR="008E7575">
        <w:t xml:space="preserve">publishing the code </w:t>
      </w:r>
      <w:r w:rsidR="00DA5794">
        <w:t>of that ministry.</w:t>
      </w:r>
    </w:p>
    <w:p w:rsidR="00335DC0" w:rsidRDefault="00D41DEE" w:rsidP="00335DC0">
      <w:pPr>
        <w:pStyle w:val="numsec2"/>
      </w:pPr>
      <w:r>
        <w:t xml:space="preserve">A two-step verification process shall be </w:t>
      </w:r>
      <w:r w:rsidR="00253F83">
        <w:t xml:space="preserve">established for </w:t>
      </w:r>
      <w:r w:rsidR="00395A14">
        <w:t>these users.</w:t>
      </w:r>
    </w:p>
    <w:p w:rsidR="00D86FC7" w:rsidRDefault="00004B52" w:rsidP="0069320C">
      <w:pPr>
        <w:pStyle w:val="numsec1"/>
      </w:pPr>
      <w:r>
        <w:t xml:space="preserve">The ministry that is publishing the code </w:t>
      </w:r>
      <w:r w:rsidR="00644D5E">
        <w:t>must choose the type of open-source license that shall apply to the published code.</w:t>
      </w:r>
      <w:r w:rsidR="00D86FC7">
        <w:t xml:space="preserve"> </w:t>
      </w:r>
      <w:r w:rsidR="00A276E1">
        <w:t xml:space="preserve">Generally, </w:t>
      </w:r>
      <w:r w:rsidR="00CA6C5C">
        <w:t xml:space="preserve">the Government Information and Communication Technologies Authority </w:t>
      </w:r>
      <w:r w:rsidR="00505A8B">
        <w:t xml:space="preserve">recommends an AGPLv3 </w:t>
      </w:r>
      <w:r w:rsidR="000871EC">
        <w:t xml:space="preserve">license, since it </w:t>
      </w:r>
      <w:r w:rsidR="00847FB7">
        <w:t xml:space="preserve">is usually the strictest in terms of requiring </w:t>
      </w:r>
      <w:r w:rsidR="00BB79DF">
        <w:t xml:space="preserve">future </w:t>
      </w:r>
      <w:r w:rsidR="00BB6C92">
        <w:t xml:space="preserve">users of the code </w:t>
      </w:r>
      <w:r w:rsidR="003A487E">
        <w:t xml:space="preserve">to </w:t>
      </w:r>
      <w:r w:rsidR="00B07A37">
        <w:t xml:space="preserve">return any </w:t>
      </w:r>
      <w:r w:rsidR="005446CE">
        <w:t xml:space="preserve">change that they have made in the original code to the public. </w:t>
      </w:r>
      <w:r w:rsidR="00900E0D">
        <w:t xml:space="preserve">In any case, </w:t>
      </w:r>
      <w:r w:rsidR="00C41467">
        <w:t xml:space="preserve">the </w:t>
      </w:r>
      <w:r w:rsidR="00AE1579">
        <w:t xml:space="preserve">stipulation that </w:t>
      </w:r>
      <w:r w:rsidR="00902F33">
        <w:t xml:space="preserve">the code, and any works derived from it, may be used </w:t>
      </w:r>
      <w:r w:rsidR="00A71EC3">
        <w:t xml:space="preserve">without payment should be defined as part of the conditions of the license, </w:t>
      </w:r>
      <w:r w:rsidR="00975D9E">
        <w:t xml:space="preserve">and it should also be stated </w:t>
      </w:r>
      <w:r w:rsidR="003241AA">
        <w:t xml:space="preserve">that the code is released as is, and that the state shall have no </w:t>
      </w:r>
      <w:r w:rsidR="001C3FA1">
        <w:t>liabilities concerning it.</w:t>
      </w:r>
    </w:p>
    <w:p w:rsidR="00774742" w:rsidRDefault="00774742" w:rsidP="00453D23">
      <w:pPr>
        <w:pStyle w:val="numsec1"/>
      </w:pPr>
      <w:r>
        <w:t xml:space="preserve">The ministry must document the published code </w:t>
      </w:r>
      <w:proofErr w:type="gramStart"/>
      <w:r w:rsidR="00F81467">
        <w:t>in order to</w:t>
      </w:r>
      <w:proofErr w:type="gramEnd"/>
      <w:r w:rsidR="00F81467">
        <w:t xml:space="preserve"> </w:t>
      </w:r>
      <w:r w:rsidR="003A70A1">
        <w:t xml:space="preserve">retain the option of </w:t>
      </w:r>
      <w:r w:rsidR="00426D3F">
        <w:t>research</w:t>
      </w:r>
      <w:r w:rsidR="003A70A1">
        <w:t xml:space="preserve">, if necessary, and </w:t>
      </w:r>
      <w:r w:rsidR="00C310CB">
        <w:t xml:space="preserve">comparison to </w:t>
      </w:r>
      <w:r w:rsidR="00453D23">
        <w:t>code published in the past.</w:t>
      </w:r>
    </w:p>
    <w:p w:rsidR="00B44EDA" w:rsidRDefault="00FF20B0" w:rsidP="0001434C">
      <w:pPr>
        <w:pStyle w:val="numsec2"/>
      </w:pPr>
      <w:r>
        <w:t xml:space="preserve">The documentation </w:t>
      </w:r>
      <w:r w:rsidR="0001434C">
        <w:t>that is to</w:t>
      </w:r>
      <w:r>
        <w:t xml:space="preserve"> be done as part of the code </w:t>
      </w:r>
      <w:r w:rsidR="0001434C">
        <w:t>must be in English.</w:t>
      </w:r>
    </w:p>
    <w:p w:rsidR="00B86014" w:rsidRDefault="00B86014" w:rsidP="008A3239">
      <w:pPr>
        <w:pStyle w:val="numsec2"/>
      </w:pPr>
      <w:r>
        <w:t xml:space="preserve">We recommend that </w:t>
      </w:r>
      <w:r w:rsidR="003C15CE">
        <w:t>additional information about the system (</w:t>
      </w:r>
      <w:r w:rsidR="002F0303">
        <w:t xml:space="preserve">not as part of the code) be documented in English </w:t>
      </w:r>
      <w:proofErr w:type="gramStart"/>
      <w:r w:rsidR="00D557F2">
        <w:t>in order to</w:t>
      </w:r>
      <w:proofErr w:type="gramEnd"/>
      <w:r w:rsidR="00D557F2">
        <w:t xml:space="preserve"> </w:t>
      </w:r>
      <w:r w:rsidR="008A3239">
        <w:t>allow publication to a wider public.</w:t>
      </w:r>
    </w:p>
    <w:p w:rsidR="008A3239" w:rsidRDefault="00DB7D5E" w:rsidP="00F70433">
      <w:pPr>
        <w:pStyle w:val="numsec1"/>
      </w:pPr>
      <w:r>
        <w:t xml:space="preserve">As far as possible, we recommend carrying out an audit of the published content from time to time </w:t>
      </w:r>
      <w:r w:rsidR="004A5C5D">
        <w:t xml:space="preserve">to ascertain that the </w:t>
      </w:r>
      <w:r w:rsidR="00AD3E3C">
        <w:t xml:space="preserve">initial </w:t>
      </w:r>
      <w:r w:rsidR="00797387">
        <w:t xml:space="preserve">original code that was </w:t>
      </w:r>
      <w:r w:rsidR="00F70433">
        <w:t xml:space="preserve">uploaded as a basis for changes has not undergone any changes itself, so that </w:t>
      </w:r>
      <w:r w:rsidR="00FD6554">
        <w:t>a distinction may be made between the original code and changes that were made on its basis.</w:t>
      </w:r>
    </w:p>
    <w:p w:rsidR="00A43949" w:rsidRPr="0086516F" w:rsidRDefault="0086516F" w:rsidP="00F70433">
      <w:pPr>
        <w:pStyle w:val="numsec1"/>
        <w:rPr>
          <w:i/>
          <w:iCs/>
        </w:rPr>
      </w:pPr>
      <w:r w:rsidRPr="0086516F">
        <w:rPr>
          <w:i/>
          <w:iCs/>
        </w:rPr>
        <w:t>An approval committee for the government ministries:</w:t>
      </w:r>
    </w:p>
    <w:p w:rsidR="0086516F" w:rsidRDefault="00BE4CD5" w:rsidP="008A6A49">
      <w:pPr>
        <w:pStyle w:val="numsec2"/>
      </w:pPr>
      <w:r>
        <w:t xml:space="preserve">An approval committee for the government ministries is hereby </w:t>
      </w:r>
      <w:r w:rsidR="00247042">
        <w:t xml:space="preserve">established </w:t>
      </w:r>
      <w:proofErr w:type="gramStart"/>
      <w:r w:rsidR="00247042">
        <w:t>for the purpose of</w:t>
      </w:r>
      <w:proofErr w:type="gramEnd"/>
      <w:r w:rsidR="00247042">
        <w:t xml:space="preserve"> </w:t>
      </w:r>
      <w:r w:rsidR="00D32509">
        <w:t xml:space="preserve">enabling government ministries to carry out the </w:t>
      </w:r>
      <w:r w:rsidR="00D80D1F">
        <w:t xml:space="preserve">policy of releasing </w:t>
      </w:r>
      <w:r w:rsidR="00485DD0">
        <w:t xml:space="preserve">software code under an open-source user license in a </w:t>
      </w:r>
      <w:r w:rsidR="00A7034C">
        <w:t xml:space="preserve">controlled and </w:t>
      </w:r>
      <w:r w:rsidR="002C4EC0">
        <w:t>intelligent manner.</w:t>
      </w:r>
    </w:p>
    <w:p w:rsidR="000F55A1" w:rsidRDefault="000F55A1" w:rsidP="005052F1">
      <w:pPr>
        <w:pStyle w:val="numsec2"/>
      </w:pPr>
      <w:r>
        <w:t>The director of the Government Information and Communication Technologies Authority</w:t>
      </w:r>
      <w:r w:rsidR="006B4BCD">
        <w:t xml:space="preserve">, or his representative, </w:t>
      </w:r>
      <w:r w:rsidR="00956C13">
        <w:t>shall be the chairman of the committee</w:t>
      </w:r>
      <w:r w:rsidR="00CE4771">
        <w:t xml:space="preserve">. </w:t>
      </w:r>
      <w:r w:rsidR="0041314B">
        <w:t xml:space="preserve">A representative of the accountant general, </w:t>
      </w:r>
      <w:r w:rsidR="00E141C7">
        <w:t xml:space="preserve">in </w:t>
      </w:r>
      <w:r w:rsidR="00966BB7">
        <w:t>charge of intellectual property</w:t>
      </w:r>
      <w:r w:rsidR="000D38B2">
        <w:t xml:space="preserve">, and the </w:t>
      </w:r>
      <w:r w:rsidR="00471F60">
        <w:t xml:space="preserve">head of the </w:t>
      </w:r>
      <w:r w:rsidR="005A3A85">
        <w:t xml:space="preserve">government’s </w:t>
      </w:r>
      <w:r w:rsidR="00AF5DB8">
        <w:t>cyber defense unit</w:t>
      </w:r>
      <w:r w:rsidR="00C20C15">
        <w:t xml:space="preserve">, or his representative, shall be </w:t>
      </w:r>
      <w:r w:rsidR="00B61448">
        <w:t xml:space="preserve">members of the committee. </w:t>
      </w:r>
      <w:r w:rsidR="007D0358">
        <w:t xml:space="preserve">The </w:t>
      </w:r>
      <w:r w:rsidR="00B813FF">
        <w:t xml:space="preserve">director of the Government Information and Communication Technologies Authority may </w:t>
      </w:r>
      <w:r w:rsidR="00AB5A38">
        <w:t xml:space="preserve">add </w:t>
      </w:r>
      <w:r w:rsidR="007306F0">
        <w:t>additional members to the committee. The committee</w:t>
      </w:r>
      <w:r w:rsidR="005052F1">
        <w:t xml:space="preserve">’s decisions shall be unanimous. </w:t>
      </w:r>
      <w:r w:rsidR="001B0787">
        <w:t xml:space="preserve">The quorum necessary for making decisions shall be the </w:t>
      </w:r>
      <w:r w:rsidR="00C85B4A">
        <w:t xml:space="preserve">director of the Government Information and Communication Technologies Authority, or his representative, </w:t>
      </w:r>
      <w:r w:rsidR="00E519E3">
        <w:t>and the representative of the accountant general.</w:t>
      </w:r>
    </w:p>
    <w:p w:rsidR="006C7DD6" w:rsidRDefault="00542B17" w:rsidP="00CE41C3">
      <w:pPr>
        <w:pStyle w:val="numsec2"/>
      </w:pPr>
      <w:r>
        <w:t xml:space="preserve">A ministry that would like to </w:t>
      </w:r>
      <w:r w:rsidR="00841FA2">
        <w:t xml:space="preserve">publish code in accordance with this guideline must </w:t>
      </w:r>
      <w:r w:rsidR="00CE41C3">
        <w:t xml:space="preserve">obtain the committee’s approval </w:t>
      </w:r>
      <w:proofErr w:type="gramStart"/>
      <w:r w:rsidR="00CE41C3">
        <w:t>in order to</w:t>
      </w:r>
      <w:proofErr w:type="gramEnd"/>
      <w:r w:rsidR="00CE41C3">
        <w:t xml:space="preserve"> publish the code.</w:t>
      </w:r>
    </w:p>
    <w:p w:rsidR="00BD07FA" w:rsidRDefault="00BD07FA" w:rsidP="00BD07FA">
      <w:pPr>
        <w:pStyle w:val="Heading1"/>
      </w:pPr>
      <w:r>
        <w:lastRenderedPageBreak/>
        <w:t xml:space="preserve">Reusing Code That Has Been </w:t>
      </w:r>
      <w:r w:rsidR="00FF3E09">
        <w:t>Released</w:t>
      </w:r>
      <w:r w:rsidR="00630F26">
        <w:t xml:space="preserve"> as Open-Source</w:t>
      </w:r>
    </w:p>
    <w:p w:rsidR="00F0118C" w:rsidRDefault="00BD4608" w:rsidP="00EF028C">
      <w:pPr>
        <w:pStyle w:val="numsec1"/>
      </w:pPr>
      <w:r>
        <w:t xml:space="preserve">Any </w:t>
      </w:r>
      <w:r w:rsidR="000D63DC">
        <w:t>re-acceptance</w:t>
      </w:r>
      <w:r w:rsidR="001B6DA8">
        <w:t xml:space="preserve"> of code </w:t>
      </w:r>
      <w:r w:rsidR="00F15DE4">
        <w:t>after it has been released to the public as open-source code and changed</w:t>
      </w:r>
      <w:r w:rsidR="00A537A0">
        <w:t xml:space="preserve"> shall be in accordance </w:t>
      </w:r>
      <w:r w:rsidR="00CB0473">
        <w:t xml:space="preserve">with the process of </w:t>
      </w:r>
      <w:r w:rsidR="000D63DC">
        <w:t xml:space="preserve">accepting </w:t>
      </w:r>
      <w:r w:rsidR="006D1BA0">
        <w:t xml:space="preserve">open-source code as set forth in </w:t>
      </w:r>
      <w:r w:rsidR="0020380C">
        <w:t>Guideline 7.3.02 of the</w:t>
      </w:r>
      <w:r w:rsidR="006D1BA0">
        <w:t xml:space="preserve"> </w:t>
      </w:r>
      <w:r w:rsidR="00CD5DCB">
        <w:t>Government Information and Communication Technologies Authority</w:t>
      </w:r>
      <w:r w:rsidR="008E2F7C">
        <w:t xml:space="preserve">: </w:t>
      </w:r>
      <w:r w:rsidR="00FA0544">
        <w:t xml:space="preserve">Policy </w:t>
      </w:r>
      <w:r w:rsidR="00EF028C">
        <w:t xml:space="preserve">Regarding the Use of </w:t>
      </w:r>
      <w:r w:rsidR="00ED0755">
        <w:t>Open-Source Code Solutions.</w:t>
      </w:r>
    </w:p>
    <w:p w:rsidR="00ED0755" w:rsidRDefault="009E4604" w:rsidP="005B3CCF">
      <w:pPr>
        <w:pStyle w:val="numsec1"/>
      </w:pPr>
      <w:r>
        <w:t xml:space="preserve">As part of this process, emphasis shall be placed upon the </w:t>
      </w:r>
      <w:r w:rsidR="00944ABC">
        <w:t xml:space="preserve">process of </w:t>
      </w:r>
      <w:r w:rsidR="005B3CCF">
        <w:t>information security</w:t>
      </w:r>
      <w:r w:rsidR="0041040A">
        <w:t xml:space="preserve"> inspections </w:t>
      </w:r>
      <w:r w:rsidR="00876E0F">
        <w:t>for accepting the code</w:t>
      </w:r>
      <w:r w:rsidR="0019305A">
        <w:t xml:space="preserve">, as set forth in the above-mentioned </w:t>
      </w:r>
      <w:proofErr w:type="spellStart"/>
      <w:r w:rsidR="0019305A">
        <w:t>guideilne</w:t>
      </w:r>
      <w:proofErr w:type="spellEnd"/>
      <w:r w:rsidR="0019305A">
        <w:t>.</w:t>
      </w:r>
    </w:p>
    <w:p w:rsidR="0019305A" w:rsidRDefault="00812C22" w:rsidP="00812C22">
      <w:pPr>
        <w:pStyle w:val="Heading1"/>
      </w:pPr>
      <w:r>
        <w:t xml:space="preserve">Applicable </w:t>
      </w:r>
      <w:r w:rsidR="00B8078E">
        <w:t>Documents</w:t>
      </w:r>
    </w:p>
    <w:p w:rsidR="00B8078E" w:rsidRDefault="00B8078E" w:rsidP="00B8078E">
      <w:pPr>
        <w:pStyle w:val="numsec1"/>
      </w:pPr>
      <w:r>
        <w:t>None.</w:t>
      </w:r>
    </w:p>
    <w:p w:rsidR="00B8078E" w:rsidRDefault="009948EE" w:rsidP="009948EE">
      <w:pPr>
        <w:pStyle w:val="Heading1"/>
      </w:pPr>
      <w:r>
        <w:t>Appendices</w:t>
      </w:r>
    </w:p>
    <w:p w:rsidR="009948EE" w:rsidRDefault="009449F8" w:rsidP="009449F8">
      <w:pPr>
        <w:pStyle w:val="numsec1"/>
      </w:pPr>
      <w:r>
        <w:t>None.</w:t>
      </w:r>
    </w:p>
    <w:p w:rsidR="00FE37E5" w:rsidRDefault="00105515" w:rsidP="00DD57BF">
      <w:pPr>
        <w:pStyle w:val="Heading1"/>
      </w:pPr>
      <w:r>
        <w:t>Guideline Versions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80"/>
        <w:gridCol w:w="1710"/>
        <w:gridCol w:w="1710"/>
        <w:gridCol w:w="1513"/>
        <w:gridCol w:w="1727"/>
        <w:gridCol w:w="1589"/>
      </w:tblGrid>
      <w:tr w:rsidR="004F3702" w:rsidTr="009D3164">
        <w:tc>
          <w:tcPr>
            <w:tcW w:w="625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Status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Nature of the change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Paragraphs affected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In effect from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Written by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0A1524" w:rsidRDefault="00185401" w:rsidP="000A1524">
            <w:pPr>
              <w:pStyle w:val="text1"/>
              <w:spacing w:before="80" w:after="80"/>
            </w:pPr>
            <w:r>
              <w:t>Approved by</w:t>
            </w:r>
          </w:p>
        </w:tc>
      </w:tr>
      <w:tr w:rsidR="004F3702" w:rsidTr="004F3702">
        <w:tc>
          <w:tcPr>
            <w:tcW w:w="625" w:type="dxa"/>
          </w:tcPr>
          <w:p w:rsidR="000A1524" w:rsidRDefault="000559E4" w:rsidP="000A1524">
            <w:pPr>
              <w:pStyle w:val="text1"/>
              <w:spacing w:before="80" w:after="80"/>
            </w:pPr>
            <w:r>
              <w:t>1.0</w:t>
            </w:r>
          </w:p>
        </w:tc>
        <w:tc>
          <w:tcPr>
            <w:tcW w:w="1080" w:type="dxa"/>
          </w:tcPr>
          <w:p w:rsidR="000A1524" w:rsidRDefault="000559E4" w:rsidP="000A1524">
            <w:pPr>
              <w:pStyle w:val="text1"/>
              <w:spacing w:before="80" w:after="80"/>
            </w:pPr>
            <w:r>
              <w:t>In effect</w:t>
            </w:r>
          </w:p>
        </w:tc>
        <w:tc>
          <w:tcPr>
            <w:tcW w:w="1710" w:type="dxa"/>
          </w:tcPr>
          <w:p w:rsidR="000A1524" w:rsidRDefault="0075280C" w:rsidP="000A1524">
            <w:pPr>
              <w:pStyle w:val="text1"/>
              <w:spacing w:before="80" w:after="80"/>
            </w:pPr>
            <w:r>
              <w:t>New guideline</w:t>
            </w:r>
          </w:p>
        </w:tc>
        <w:tc>
          <w:tcPr>
            <w:tcW w:w="1710" w:type="dxa"/>
          </w:tcPr>
          <w:p w:rsidR="000A1524" w:rsidRDefault="00B416E3" w:rsidP="000A1524">
            <w:pPr>
              <w:pStyle w:val="text1"/>
              <w:spacing w:before="80" w:after="80"/>
            </w:pPr>
            <w:r>
              <w:t>New guideline</w:t>
            </w:r>
          </w:p>
        </w:tc>
        <w:tc>
          <w:tcPr>
            <w:tcW w:w="1513" w:type="dxa"/>
          </w:tcPr>
          <w:p w:rsidR="000A1524" w:rsidRDefault="00300B76" w:rsidP="000A1524">
            <w:pPr>
              <w:pStyle w:val="text1"/>
              <w:spacing w:before="80" w:after="80"/>
            </w:pPr>
            <w:r>
              <w:t>01/04/2018</w:t>
            </w:r>
          </w:p>
        </w:tc>
        <w:tc>
          <w:tcPr>
            <w:tcW w:w="1727" w:type="dxa"/>
          </w:tcPr>
          <w:p w:rsidR="000A1524" w:rsidRDefault="00A34AD3" w:rsidP="000A1524">
            <w:pPr>
              <w:pStyle w:val="text1"/>
              <w:spacing w:before="80" w:after="80"/>
            </w:pPr>
            <w:r>
              <w:t xml:space="preserve">Shahar </w:t>
            </w:r>
            <w:proofErr w:type="spellStart"/>
            <w:r>
              <w:t>Bracha</w:t>
            </w:r>
            <w:proofErr w:type="spellEnd"/>
          </w:p>
        </w:tc>
        <w:tc>
          <w:tcPr>
            <w:tcW w:w="1589" w:type="dxa"/>
          </w:tcPr>
          <w:p w:rsidR="000A1524" w:rsidRDefault="00A34AD3" w:rsidP="000A1524">
            <w:pPr>
              <w:pStyle w:val="text1"/>
              <w:spacing w:before="80" w:after="80"/>
            </w:pPr>
            <w:proofErr w:type="spellStart"/>
            <w:r>
              <w:t>Yair</w:t>
            </w:r>
            <w:proofErr w:type="spellEnd"/>
            <w:r>
              <w:t xml:space="preserve"> Frank</w:t>
            </w:r>
          </w:p>
        </w:tc>
      </w:tr>
    </w:tbl>
    <w:p w:rsidR="00105515" w:rsidRPr="00105515" w:rsidRDefault="00105515" w:rsidP="00105515">
      <w:pPr>
        <w:pStyle w:val="text1"/>
      </w:pPr>
    </w:p>
    <w:sectPr w:rsidR="00105515" w:rsidRPr="00105515" w:rsidSect="00BA5BD3">
      <w:footerReference w:type="default" r:id="rId7"/>
      <w:pgSz w:w="12240" w:h="15840"/>
      <w:pgMar w:top="1138" w:right="1138" w:bottom="1138" w:left="1138" w:header="720" w:footer="9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53" w:rsidRDefault="00883353" w:rsidP="004008C9">
      <w:pPr>
        <w:spacing w:after="0" w:line="240" w:lineRule="auto"/>
      </w:pPr>
      <w:r>
        <w:separator/>
      </w:r>
    </w:p>
  </w:endnote>
  <w:endnote w:type="continuationSeparator" w:id="0">
    <w:p w:rsidR="00883353" w:rsidRDefault="00883353" w:rsidP="0040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311" w:rsidRDefault="00840311" w:rsidP="00745BB8">
    <w:pPr>
      <w:spacing w:after="80" w:line="240" w:lineRule="auto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7105"/>
      <w:gridCol w:w="2849"/>
    </w:tblGrid>
    <w:tr w:rsidR="004008C9" w:rsidTr="00BA5BD3">
      <w:trPr>
        <w:jc w:val="center"/>
      </w:trPr>
      <w:tc>
        <w:tcPr>
          <w:tcW w:w="7105" w:type="dxa"/>
          <w:shd w:val="clear" w:color="auto" w:fill="D9D9D9" w:themeFill="background1" w:themeFillShade="D9"/>
        </w:tcPr>
        <w:p w:rsidR="004008C9" w:rsidRDefault="004008C9" w:rsidP="004008C9">
          <w:pPr>
            <w:pStyle w:val="Footer"/>
            <w:spacing w:before="80" w:after="80"/>
            <w:rPr>
              <w:rFonts w:ascii="Verdana" w:hAnsi="Verdana"/>
              <w:sz w:val="20"/>
              <w:szCs w:val="20"/>
            </w:rPr>
          </w:pPr>
          <w:r w:rsidRPr="008B1EFC">
            <w:rPr>
              <w:rFonts w:ascii="Verdana" w:hAnsi="Verdana"/>
              <w:color w:val="002060"/>
              <w:sz w:val="20"/>
              <w:szCs w:val="20"/>
            </w:rPr>
            <w:t>Guideline Name: Policy for Publicizing State-Owned Code</w:t>
          </w:r>
        </w:p>
      </w:tc>
      <w:tc>
        <w:tcPr>
          <w:tcW w:w="2849" w:type="dxa"/>
          <w:shd w:val="clear" w:color="auto" w:fill="002060"/>
          <w:vAlign w:val="center"/>
        </w:tcPr>
        <w:p w:rsidR="004008C9" w:rsidRDefault="004008C9" w:rsidP="008B1EFC">
          <w:pPr>
            <w:pStyle w:val="Footer"/>
            <w:spacing w:before="80" w:after="80"/>
            <w:jc w:val="center"/>
            <w:rPr>
              <w:rFonts w:ascii="Verdana" w:hAnsi="Verdana"/>
              <w:sz w:val="20"/>
              <w:szCs w:val="20"/>
            </w:rPr>
          </w:pP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t xml:space="preserve">Page </w:t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fldChar w:fldCharType="begin"/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instrText xml:space="preserve"> PAGE  \* Arabic  \* MERGEFORMAT </w:instrText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fldChar w:fldCharType="separate"/>
          </w:r>
          <w:r w:rsidR="00105633">
            <w:rPr>
              <w:rFonts w:ascii="Verdana" w:hAnsi="Verdana"/>
              <w:noProof/>
              <w:color w:val="FFFFFF" w:themeColor="background1"/>
              <w:sz w:val="20"/>
              <w:szCs w:val="20"/>
            </w:rPr>
            <w:t>6</w:t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fldChar w:fldCharType="end"/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t xml:space="preserve"> of </w:t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fldChar w:fldCharType="begin"/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instrText xml:space="preserve"> NUMPAGES  \* Arabic  \* MERGEFORMAT </w:instrText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fldChar w:fldCharType="separate"/>
          </w:r>
          <w:r w:rsidR="00105633">
            <w:rPr>
              <w:rFonts w:ascii="Verdana" w:hAnsi="Verdana"/>
              <w:noProof/>
              <w:color w:val="FFFFFF" w:themeColor="background1"/>
              <w:sz w:val="20"/>
              <w:szCs w:val="20"/>
            </w:rPr>
            <w:t>6</w:t>
          </w:r>
          <w:r w:rsidRPr="008B1EFC">
            <w:rPr>
              <w:rFonts w:ascii="Verdana" w:hAnsi="Verdana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4008C9" w:rsidRPr="004008C9" w:rsidRDefault="004008C9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53" w:rsidRDefault="00883353" w:rsidP="004008C9">
      <w:pPr>
        <w:spacing w:after="0" w:line="240" w:lineRule="auto"/>
      </w:pPr>
      <w:r>
        <w:separator/>
      </w:r>
    </w:p>
  </w:footnote>
  <w:footnote w:type="continuationSeparator" w:id="0">
    <w:p w:rsidR="00883353" w:rsidRDefault="00883353" w:rsidP="0040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C52"/>
    <w:multiLevelType w:val="multilevel"/>
    <w:tmpl w:val="25F0D9CA"/>
    <w:lvl w:ilvl="0">
      <w:start w:val="1"/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umsec1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umsec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umsec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3"/>
    <w:rsid w:val="00003F9F"/>
    <w:rsid w:val="00004B52"/>
    <w:rsid w:val="00004DC4"/>
    <w:rsid w:val="000120A4"/>
    <w:rsid w:val="0001434C"/>
    <w:rsid w:val="00020E8C"/>
    <w:rsid w:val="00021017"/>
    <w:rsid w:val="00024AAE"/>
    <w:rsid w:val="00031A27"/>
    <w:rsid w:val="00033871"/>
    <w:rsid w:val="00041AA2"/>
    <w:rsid w:val="00042DE1"/>
    <w:rsid w:val="00044225"/>
    <w:rsid w:val="00046AB4"/>
    <w:rsid w:val="00050183"/>
    <w:rsid w:val="000525C1"/>
    <w:rsid w:val="00054A55"/>
    <w:rsid w:val="000559E4"/>
    <w:rsid w:val="000565BD"/>
    <w:rsid w:val="00057658"/>
    <w:rsid w:val="000607B4"/>
    <w:rsid w:val="000635A7"/>
    <w:rsid w:val="0008167A"/>
    <w:rsid w:val="000833F2"/>
    <w:rsid w:val="00085522"/>
    <w:rsid w:val="00085D5D"/>
    <w:rsid w:val="000871EC"/>
    <w:rsid w:val="000919B1"/>
    <w:rsid w:val="000925E2"/>
    <w:rsid w:val="00093AAD"/>
    <w:rsid w:val="000957D6"/>
    <w:rsid w:val="000A1524"/>
    <w:rsid w:val="000A7DF6"/>
    <w:rsid w:val="000B39D8"/>
    <w:rsid w:val="000B70E5"/>
    <w:rsid w:val="000B74B3"/>
    <w:rsid w:val="000C1503"/>
    <w:rsid w:val="000C2637"/>
    <w:rsid w:val="000C510A"/>
    <w:rsid w:val="000D053E"/>
    <w:rsid w:val="000D33E0"/>
    <w:rsid w:val="000D38B2"/>
    <w:rsid w:val="000D471A"/>
    <w:rsid w:val="000D63DC"/>
    <w:rsid w:val="000E1CAC"/>
    <w:rsid w:val="000E2865"/>
    <w:rsid w:val="000E3B4E"/>
    <w:rsid w:val="000E3C0A"/>
    <w:rsid w:val="000E471A"/>
    <w:rsid w:val="000E4DBF"/>
    <w:rsid w:val="000F4AB6"/>
    <w:rsid w:val="000F55A1"/>
    <w:rsid w:val="000F5E5E"/>
    <w:rsid w:val="00103E8C"/>
    <w:rsid w:val="00104614"/>
    <w:rsid w:val="00104BFC"/>
    <w:rsid w:val="00105515"/>
    <w:rsid w:val="00105633"/>
    <w:rsid w:val="001125B9"/>
    <w:rsid w:val="001137BD"/>
    <w:rsid w:val="00116F24"/>
    <w:rsid w:val="001228B8"/>
    <w:rsid w:val="0012754C"/>
    <w:rsid w:val="0013168F"/>
    <w:rsid w:val="00131A0D"/>
    <w:rsid w:val="00137C55"/>
    <w:rsid w:val="0014024C"/>
    <w:rsid w:val="00140F37"/>
    <w:rsid w:val="00141AD4"/>
    <w:rsid w:val="00145E37"/>
    <w:rsid w:val="00150FFC"/>
    <w:rsid w:val="00157D20"/>
    <w:rsid w:val="001645F0"/>
    <w:rsid w:val="0016620D"/>
    <w:rsid w:val="001772AC"/>
    <w:rsid w:val="0017795F"/>
    <w:rsid w:val="00182808"/>
    <w:rsid w:val="00183FEE"/>
    <w:rsid w:val="00184FFD"/>
    <w:rsid w:val="00185401"/>
    <w:rsid w:val="00191847"/>
    <w:rsid w:val="0019239E"/>
    <w:rsid w:val="0019305A"/>
    <w:rsid w:val="00193FEC"/>
    <w:rsid w:val="00195A2D"/>
    <w:rsid w:val="001962C9"/>
    <w:rsid w:val="001A36EF"/>
    <w:rsid w:val="001B0787"/>
    <w:rsid w:val="001B6751"/>
    <w:rsid w:val="001B6DA8"/>
    <w:rsid w:val="001C0760"/>
    <w:rsid w:val="001C1004"/>
    <w:rsid w:val="001C3FA1"/>
    <w:rsid w:val="001C52F6"/>
    <w:rsid w:val="001D6895"/>
    <w:rsid w:val="001E10CC"/>
    <w:rsid w:val="001E2761"/>
    <w:rsid w:val="001E3879"/>
    <w:rsid w:val="001E734E"/>
    <w:rsid w:val="001E78F0"/>
    <w:rsid w:val="001F2860"/>
    <w:rsid w:val="001F35C5"/>
    <w:rsid w:val="001F3E68"/>
    <w:rsid w:val="00201810"/>
    <w:rsid w:val="0020380C"/>
    <w:rsid w:val="00210125"/>
    <w:rsid w:val="002129EE"/>
    <w:rsid w:val="00213073"/>
    <w:rsid w:val="002167DD"/>
    <w:rsid w:val="00216ED3"/>
    <w:rsid w:val="0021786E"/>
    <w:rsid w:val="00227573"/>
    <w:rsid w:val="0023194B"/>
    <w:rsid w:val="00232D66"/>
    <w:rsid w:val="00233212"/>
    <w:rsid w:val="00237364"/>
    <w:rsid w:val="0023791E"/>
    <w:rsid w:val="00243402"/>
    <w:rsid w:val="00247042"/>
    <w:rsid w:val="0025148B"/>
    <w:rsid w:val="00253F83"/>
    <w:rsid w:val="00270A6A"/>
    <w:rsid w:val="00273698"/>
    <w:rsid w:val="0027406D"/>
    <w:rsid w:val="002759FB"/>
    <w:rsid w:val="0027699C"/>
    <w:rsid w:val="00277F64"/>
    <w:rsid w:val="00281004"/>
    <w:rsid w:val="00281030"/>
    <w:rsid w:val="0028544B"/>
    <w:rsid w:val="0029041E"/>
    <w:rsid w:val="002944C3"/>
    <w:rsid w:val="00294A5F"/>
    <w:rsid w:val="002A327C"/>
    <w:rsid w:val="002A71E3"/>
    <w:rsid w:val="002B12BE"/>
    <w:rsid w:val="002B7353"/>
    <w:rsid w:val="002C4EC0"/>
    <w:rsid w:val="002C606F"/>
    <w:rsid w:val="002C6335"/>
    <w:rsid w:val="002C74AD"/>
    <w:rsid w:val="002D0AEA"/>
    <w:rsid w:val="002D2FD7"/>
    <w:rsid w:val="002D4CD6"/>
    <w:rsid w:val="002D7A59"/>
    <w:rsid w:val="002E1348"/>
    <w:rsid w:val="002E26D2"/>
    <w:rsid w:val="002E6CED"/>
    <w:rsid w:val="002F0303"/>
    <w:rsid w:val="002F0871"/>
    <w:rsid w:val="002F295E"/>
    <w:rsid w:val="002F3AD1"/>
    <w:rsid w:val="002F515F"/>
    <w:rsid w:val="002F7061"/>
    <w:rsid w:val="00300B76"/>
    <w:rsid w:val="00304836"/>
    <w:rsid w:val="0030574E"/>
    <w:rsid w:val="003121C5"/>
    <w:rsid w:val="00315282"/>
    <w:rsid w:val="003179C0"/>
    <w:rsid w:val="00321B33"/>
    <w:rsid w:val="003241AA"/>
    <w:rsid w:val="00332233"/>
    <w:rsid w:val="00335DC0"/>
    <w:rsid w:val="00352FAA"/>
    <w:rsid w:val="00357295"/>
    <w:rsid w:val="0036002D"/>
    <w:rsid w:val="00362FA6"/>
    <w:rsid w:val="00365947"/>
    <w:rsid w:val="00365C34"/>
    <w:rsid w:val="00367C5F"/>
    <w:rsid w:val="00367E67"/>
    <w:rsid w:val="0037347A"/>
    <w:rsid w:val="0037685F"/>
    <w:rsid w:val="00382249"/>
    <w:rsid w:val="0039240F"/>
    <w:rsid w:val="00395A14"/>
    <w:rsid w:val="00396638"/>
    <w:rsid w:val="003A3025"/>
    <w:rsid w:val="003A487E"/>
    <w:rsid w:val="003A6D97"/>
    <w:rsid w:val="003A70A1"/>
    <w:rsid w:val="003B084D"/>
    <w:rsid w:val="003B0EDB"/>
    <w:rsid w:val="003B10CA"/>
    <w:rsid w:val="003B225E"/>
    <w:rsid w:val="003B5F37"/>
    <w:rsid w:val="003C15CE"/>
    <w:rsid w:val="003C35DD"/>
    <w:rsid w:val="003C5E84"/>
    <w:rsid w:val="003D09D7"/>
    <w:rsid w:val="003D4500"/>
    <w:rsid w:val="003E139B"/>
    <w:rsid w:val="003E5E3F"/>
    <w:rsid w:val="003E6B8C"/>
    <w:rsid w:val="003E758C"/>
    <w:rsid w:val="003F002F"/>
    <w:rsid w:val="003F13F0"/>
    <w:rsid w:val="003F19B8"/>
    <w:rsid w:val="004008C9"/>
    <w:rsid w:val="00401591"/>
    <w:rsid w:val="00401C5F"/>
    <w:rsid w:val="004066ED"/>
    <w:rsid w:val="00407F7A"/>
    <w:rsid w:val="0041040A"/>
    <w:rsid w:val="00410A57"/>
    <w:rsid w:val="004118B1"/>
    <w:rsid w:val="00412EDF"/>
    <w:rsid w:val="0041314B"/>
    <w:rsid w:val="00413613"/>
    <w:rsid w:val="004141C8"/>
    <w:rsid w:val="0041680E"/>
    <w:rsid w:val="00426D3F"/>
    <w:rsid w:val="00435A0E"/>
    <w:rsid w:val="00435A5F"/>
    <w:rsid w:val="00453D23"/>
    <w:rsid w:val="0045788A"/>
    <w:rsid w:val="004631B8"/>
    <w:rsid w:val="00464F6F"/>
    <w:rsid w:val="004671B1"/>
    <w:rsid w:val="004700AA"/>
    <w:rsid w:val="00471F60"/>
    <w:rsid w:val="00474A65"/>
    <w:rsid w:val="004760B8"/>
    <w:rsid w:val="004833A2"/>
    <w:rsid w:val="00485DD0"/>
    <w:rsid w:val="00490ECA"/>
    <w:rsid w:val="004914A8"/>
    <w:rsid w:val="004A0CCA"/>
    <w:rsid w:val="004A28CE"/>
    <w:rsid w:val="004A5C5D"/>
    <w:rsid w:val="004A7572"/>
    <w:rsid w:val="004B0907"/>
    <w:rsid w:val="004B36E3"/>
    <w:rsid w:val="004D6B5C"/>
    <w:rsid w:val="004D6DA1"/>
    <w:rsid w:val="004E0AA8"/>
    <w:rsid w:val="004E2832"/>
    <w:rsid w:val="004E35C2"/>
    <w:rsid w:val="004E45E1"/>
    <w:rsid w:val="004E4C38"/>
    <w:rsid w:val="004F0488"/>
    <w:rsid w:val="004F0970"/>
    <w:rsid w:val="004F3702"/>
    <w:rsid w:val="004F4DB3"/>
    <w:rsid w:val="00500294"/>
    <w:rsid w:val="00503776"/>
    <w:rsid w:val="005052F1"/>
    <w:rsid w:val="00505A8B"/>
    <w:rsid w:val="005067AB"/>
    <w:rsid w:val="00510853"/>
    <w:rsid w:val="00513594"/>
    <w:rsid w:val="00514953"/>
    <w:rsid w:val="005163B0"/>
    <w:rsid w:val="00517D64"/>
    <w:rsid w:val="00520324"/>
    <w:rsid w:val="00522960"/>
    <w:rsid w:val="00523C74"/>
    <w:rsid w:val="0052565E"/>
    <w:rsid w:val="005322FF"/>
    <w:rsid w:val="005339B9"/>
    <w:rsid w:val="00540D53"/>
    <w:rsid w:val="00542B17"/>
    <w:rsid w:val="005446CE"/>
    <w:rsid w:val="00545422"/>
    <w:rsid w:val="00551EEC"/>
    <w:rsid w:val="005601FD"/>
    <w:rsid w:val="005665DE"/>
    <w:rsid w:val="00567B9B"/>
    <w:rsid w:val="005755A8"/>
    <w:rsid w:val="00575A84"/>
    <w:rsid w:val="0057605B"/>
    <w:rsid w:val="0058168F"/>
    <w:rsid w:val="00582BFA"/>
    <w:rsid w:val="005A14EC"/>
    <w:rsid w:val="005A3123"/>
    <w:rsid w:val="005A3A85"/>
    <w:rsid w:val="005B06C5"/>
    <w:rsid w:val="005B3CCF"/>
    <w:rsid w:val="005B5B7E"/>
    <w:rsid w:val="005B7230"/>
    <w:rsid w:val="005C0482"/>
    <w:rsid w:val="005C3826"/>
    <w:rsid w:val="005C59B9"/>
    <w:rsid w:val="005D4F6B"/>
    <w:rsid w:val="005D6032"/>
    <w:rsid w:val="005E2C93"/>
    <w:rsid w:val="005E466B"/>
    <w:rsid w:val="005E4994"/>
    <w:rsid w:val="005E49F0"/>
    <w:rsid w:val="005E5F58"/>
    <w:rsid w:val="005F2B1D"/>
    <w:rsid w:val="005F7BBE"/>
    <w:rsid w:val="006018D7"/>
    <w:rsid w:val="00601B19"/>
    <w:rsid w:val="0060729B"/>
    <w:rsid w:val="006102E5"/>
    <w:rsid w:val="0061437C"/>
    <w:rsid w:val="0061739F"/>
    <w:rsid w:val="00622A76"/>
    <w:rsid w:val="00623260"/>
    <w:rsid w:val="0062409F"/>
    <w:rsid w:val="00626D22"/>
    <w:rsid w:val="00630F26"/>
    <w:rsid w:val="00640CA1"/>
    <w:rsid w:val="00644D5E"/>
    <w:rsid w:val="006454A6"/>
    <w:rsid w:val="00647A67"/>
    <w:rsid w:val="006562D0"/>
    <w:rsid w:val="00664F3C"/>
    <w:rsid w:val="00666ACB"/>
    <w:rsid w:val="00671861"/>
    <w:rsid w:val="006720ED"/>
    <w:rsid w:val="0067616E"/>
    <w:rsid w:val="0067789A"/>
    <w:rsid w:val="00691808"/>
    <w:rsid w:val="0069188B"/>
    <w:rsid w:val="0069320C"/>
    <w:rsid w:val="0069476B"/>
    <w:rsid w:val="00695124"/>
    <w:rsid w:val="006951E8"/>
    <w:rsid w:val="006A3F95"/>
    <w:rsid w:val="006A4666"/>
    <w:rsid w:val="006B4435"/>
    <w:rsid w:val="006B4BCD"/>
    <w:rsid w:val="006C4324"/>
    <w:rsid w:val="006C6046"/>
    <w:rsid w:val="006C7DD6"/>
    <w:rsid w:val="006D1BA0"/>
    <w:rsid w:val="006D1C84"/>
    <w:rsid w:val="006D3935"/>
    <w:rsid w:val="006E125D"/>
    <w:rsid w:val="006F30EF"/>
    <w:rsid w:val="007129A3"/>
    <w:rsid w:val="007267BB"/>
    <w:rsid w:val="007306F0"/>
    <w:rsid w:val="0073200A"/>
    <w:rsid w:val="00736F16"/>
    <w:rsid w:val="007421BC"/>
    <w:rsid w:val="0074360B"/>
    <w:rsid w:val="00744807"/>
    <w:rsid w:val="0074491D"/>
    <w:rsid w:val="00745BB8"/>
    <w:rsid w:val="00746AF6"/>
    <w:rsid w:val="00750219"/>
    <w:rsid w:val="0075075B"/>
    <w:rsid w:val="007510A6"/>
    <w:rsid w:val="0075280C"/>
    <w:rsid w:val="00761334"/>
    <w:rsid w:val="00762836"/>
    <w:rsid w:val="00762B39"/>
    <w:rsid w:val="00774742"/>
    <w:rsid w:val="007750E9"/>
    <w:rsid w:val="00780F23"/>
    <w:rsid w:val="007860FE"/>
    <w:rsid w:val="00790146"/>
    <w:rsid w:val="00797387"/>
    <w:rsid w:val="007A1DC2"/>
    <w:rsid w:val="007A4E38"/>
    <w:rsid w:val="007A4E85"/>
    <w:rsid w:val="007A72B0"/>
    <w:rsid w:val="007C4DDE"/>
    <w:rsid w:val="007D028B"/>
    <w:rsid w:val="007D0358"/>
    <w:rsid w:val="007D592B"/>
    <w:rsid w:val="007D59BB"/>
    <w:rsid w:val="007D6500"/>
    <w:rsid w:val="007E6C4E"/>
    <w:rsid w:val="007F0348"/>
    <w:rsid w:val="007F22A2"/>
    <w:rsid w:val="007F64DA"/>
    <w:rsid w:val="007F6DA4"/>
    <w:rsid w:val="007F6E62"/>
    <w:rsid w:val="00800103"/>
    <w:rsid w:val="008028DC"/>
    <w:rsid w:val="0081057A"/>
    <w:rsid w:val="00812C22"/>
    <w:rsid w:val="00814134"/>
    <w:rsid w:val="00814BC0"/>
    <w:rsid w:val="00814DBE"/>
    <w:rsid w:val="00816C55"/>
    <w:rsid w:val="00820D44"/>
    <w:rsid w:val="008237F6"/>
    <w:rsid w:val="00823B06"/>
    <w:rsid w:val="00840311"/>
    <w:rsid w:val="00841391"/>
    <w:rsid w:val="00841FA2"/>
    <w:rsid w:val="008421D5"/>
    <w:rsid w:val="00847FB7"/>
    <w:rsid w:val="0085060F"/>
    <w:rsid w:val="00853EF3"/>
    <w:rsid w:val="008627CC"/>
    <w:rsid w:val="00863A5B"/>
    <w:rsid w:val="008649B8"/>
    <w:rsid w:val="0086516F"/>
    <w:rsid w:val="0087397D"/>
    <w:rsid w:val="00876CC4"/>
    <w:rsid w:val="00876E0F"/>
    <w:rsid w:val="0087799B"/>
    <w:rsid w:val="00881D7E"/>
    <w:rsid w:val="00882C6F"/>
    <w:rsid w:val="00883353"/>
    <w:rsid w:val="008A25A7"/>
    <w:rsid w:val="008A3239"/>
    <w:rsid w:val="008A4666"/>
    <w:rsid w:val="008A654D"/>
    <w:rsid w:val="008A6A49"/>
    <w:rsid w:val="008A7F9E"/>
    <w:rsid w:val="008B1EFC"/>
    <w:rsid w:val="008B597F"/>
    <w:rsid w:val="008C5623"/>
    <w:rsid w:val="008D58F6"/>
    <w:rsid w:val="008E2F7C"/>
    <w:rsid w:val="008E6B0A"/>
    <w:rsid w:val="008E7575"/>
    <w:rsid w:val="008E7FB2"/>
    <w:rsid w:val="008F0A3D"/>
    <w:rsid w:val="008F3B29"/>
    <w:rsid w:val="008F4A3C"/>
    <w:rsid w:val="00900E0D"/>
    <w:rsid w:val="009018C2"/>
    <w:rsid w:val="00902F33"/>
    <w:rsid w:val="0090414C"/>
    <w:rsid w:val="00917D30"/>
    <w:rsid w:val="00922235"/>
    <w:rsid w:val="009258FB"/>
    <w:rsid w:val="00927DED"/>
    <w:rsid w:val="00933D38"/>
    <w:rsid w:val="009449F8"/>
    <w:rsid w:val="00944ABC"/>
    <w:rsid w:val="009450C9"/>
    <w:rsid w:val="00950E44"/>
    <w:rsid w:val="009520EF"/>
    <w:rsid w:val="009543A0"/>
    <w:rsid w:val="00955DC6"/>
    <w:rsid w:val="00956C13"/>
    <w:rsid w:val="00956D7C"/>
    <w:rsid w:val="009600B8"/>
    <w:rsid w:val="009632D2"/>
    <w:rsid w:val="00966BB7"/>
    <w:rsid w:val="00967504"/>
    <w:rsid w:val="009709FE"/>
    <w:rsid w:val="009747B4"/>
    <w:rsid w:val="00974E8E"/>
    <w:rsid w:val="00975D9E"/>
    <w:rsid w:val="00977E7B"/>
    <w:rsid w:val="0098376A"/>
    <w:rsid w:val="009924AE"/>
    <w:rsid w:val="00993B1B"/>
    <w:rsid w:val="009948EE"/>
    <w:rsid w:val="0099542D"/>
    <w:rsid w:val="009A7C06"/>
    <w:rsid w:val="009B04F5"/>
    <w:rsid w:val="009B1067"/>
    <w:rsid w:val="009C1677"/>
    <w:rsid w:val="009C5498"/>
    <w:rsid w:val="009D3164"/>
    <w:rsid w:val="009D31A2"/>
    <w:rsid w:val="009E4604"/>
    <w:rsid w:val="009F0DA4"/>
    <w:rsid w:val="009F442C"/>
    <w:rsid w:val="009F66CA"/>
    <w:rsid w:val="00A054E8"/>
    <w:rsid w:val="00A21FD5"/>
    <w:rsid w:val="00A23781"/>
    <w:rsid w:val="00A2640F"/>
    <w:rsid w:val="00A276E1"/>
    <w:rsid w:val="00A34AD3"/>
    <w:rsid w:val="00A34BD6"/>
    <w:rsid w:val="00A36227"/>
    <w:rsid w:val="00A405DC"/>
    <w:rsid w:val="00A43949"/>
    <w:rsid w:val="00A47ED6"/>
    <w:rsid w:val="00A52F22"/>
    <w:rsid w:val="00A537A0"/>
    <w:rsid w:val="00A53956"/>
    <w:rsid w:val="00A5582F"/>
    <w:rsid w:val="00A61CA6"/>
    <w:rsid w:val="00A63E34"/>
    <w:rsid w:val="00A65B2E"/>
    <w:rsid w:val="00A7034C"/>
    <w:rsid w:val="00A71EC3"/>
    <w:rsid w:val="00A81EB4"/>
    <w:rsid w:val="00A85FEE"/>
    <w:rsid w:val="00A86F7A"/>
    <w:rsid w:val="00A9365C"/>
    <w:rsid w:val="00AA4A0B"/>
    <w:rsid w:val="00AA76BE"/>
    <w:rsid w:val="00AB25D5"/>
    <w:rsid w:val="00AB348E"/>
    <w:rsid w:val="00AB3F15"/>
    <w:rsid w:val="00AB463D"/>
    <w:rsid w:val="00AB4BFE"/>
    <w:rsid w:val="00AB5A38"/>
    <w:rsid w:val="00AC284C"/>
    <w:rsid w:val="00AC2FE3"/>
    <w:rsid w:val="00AC3A41"/>
    <w:rsid w:val="00AC41A9"/>
    <w:rsid w:val="00AC4513"/>
    <w:rsid w:val="00AD00B7"/>
    <w:rsid w:val="00AD1F7E"/>
    <w:rsid w:val="00AD3046"/>
    <w:rsid w:val="00AD3E3C"/>
    <w:rsid w:val="00AE1579"/>
    <w:rsid w:val="00AF1587"/>
    <w:rsid w:val="00AF5DB8"/>
    <w:rsid w:val="00AF7530"/>
    <w:rsid w:val="00AF7A97"/>
    <w:rsid w:val="00B0189D"/>
    <w:rsid w:val="00B045C9"/>
    <w:rsid w:val="00B060F5"/>
    <w:rsid w:val="00B07A37"/>
    <w:rsid w:val="00B1153C"/>
    <w:rsid w:val="00B15EDD"/>
    <w:rsid w:val="00B20558"/>
    <w:rsid w:val="00B221E0"/>
    <w:rsid w:val="00B23690"/>
    <w:rsid w:val="00B3117C"/>
    <w:rsid w:val="00B314DE"/>
    <w:rsid w:val="00B35425"/>
    <w:rsid w:val="00B376AC"/>
    <w:rsid w:val="00B406AC"/>
    <w:rsid w:val="00B40DDD"/>
    <w:rsid w:val="00B416E3"/>
    <w:rsid w:val="00B427F4"/>
    <w:rsid w:val="00B44EDA"/>
    <w:rsid w:val="00B51CB0"/>
    <w:rsid w:val="00B53505"/>
    <w:rsid w:val="00B56136"/>
    <w:rsid w:val="00B61448"/>
    <w:rsid w:val="00B61FC4"/>
    <w:rsid w:val="00B72EEE"/>
    <w:rsid w:val="00B733D6"/>
    <w:rsid w:val="00B766F3"/>
    <w:rsid w:val="00B76B68"/>
    <w:rsid w:val="00B76D86"/>
    <w:rsid w:val="00B8078E"/>
    <w:rsid w:val="00B813FF"/>
    <w:rsid w:val="00B83057"/>
    <w:rsid w:val="00B85BA4"/>
    <w:rsid w:val="00B86014"/>
    <w:rsid w:val="00B86229"/>
    <w:rsid w:val="00B87647"/>
    <w:rsid w:val="00BA1FF2"/>
    <w:rsid w:val="00BA210D"/>
    <w:rsid w:val="00BA464D"/>
    <w:rsid w:val="00BA5BD3"/>
    <w:rsid w:val="00BA719D"/>
    <w:rsid w:val="00BB0953"/>
    <w:rsid w:val="00BB6C92"/>
    <w:rsid w:val="00BB79DF"/>
    <w:rsid w:val="00BC08DC"/>
    <w:rsid w:val="00BC397C"/>
    <w:rsid w:val="00BC7853"/>
    <w:rsid w:val="00BD07FA"/>
    <w:rsid w:val="00BD39F3"/>
    <w:rsid w:val="00BD4608"/>
    <w:rsid w:val="00BE05AB"/>
    <w:rsid w:val="00BE4CD5"/>
    <w:rsid w:val="00BE675B"/>
    <w:rsid w:val="00C0507E"/>
    <w:rsid w:val="00C0653A"/>
    <w:rsid w:val="00C10D82"/>
    <w:rsid w:val="00C11C7B"/>
    <w:rsid w:val="00C129E4"/>
    <w:rsid w:val="00C20C15"/>
    <w:rsid w:val="00C22B80"/>
    <w:rsid w:val="00C27BE8"/>
    <w:rsid w:val="00C30EE9"/>
    <w:rsid w:val="00C310CB"/>
    <w:rsid w:val="00C3341B"/>
    <w:rsid w:val="00C34281"/>
    <w:rsid w:val="00C41467"/>
    <w:rsid w:val="00C41702"/>
    <w:rsid w:val="00C45154"/>
    <w:rsid w:val="00C45E86"/>
    <w:rsid w:val="00C47A76"/>
    <w:rsid w:val="00C5107B"/>
    <w:rsid w:val="00C54788"/>
    <w:rsid w:val="00C5656F"/>
    <w:rsid w:val="00C5763F"/>
    <w:rsid w:val="00C61FB9"/>
    <w:rsid w:val="00C62EE6"/>
    <w:rsid w:val="00C7033E"/>
    <w:rsid w:val="00C747C7"/>
    <w:rsid w:val="00C74A91"/>
    <w:rsid w:val="00C801CF"/>
    <w:rsid w:val="00C80517"/>
    <w:rsid w:val="00C82A4B"/>
    <w:rsid w:val="00C82B63"/>
    <w:rsid w:val="00C8350A"/>
    <w:rsid w:val="00C85B4A"/>
    <w:rsid w:val="00C9045C"/>
    <w:rsid w:val="00C955C3"/>
    <w:rsid w:val="00C95F1E"/>
    <w:rsid w:val="00CA3605"/>
    <w:rsid w:val="00CA5F85"/>
    <w:rsid w:val="00CA694A"/>
    <w:rsid w:val="00CA6C5C"/>
    <w:rsid w:val="00CA74F5"/>
    <w:rsid w:val="00CB0473"/>
    <w:rsid w:val="00CB2AAF"/>
    <w:rsid w:val="00CB6829"/>
    <w:rsid w:val="00CB6FC8"/>
    <w:rsid w:val="00CC31B9"/>
    <w:rsid w:val="00CC3C81"/>
    <w:rsid w:val="00CD2E40"/>
    <w:rsid w:val="00CD5DCB"/>
    <w:rsid w:val="00CD66A4"/>
    <w:rsid w:val="00CE41C3"/>
    <w:rsid w:val="00CE4771"/>
    <w:rsid w:val="00CF1DB6"/>
    <w:rsid w:val="00CF4192"/>
    <w:rsid w:val="00CF4D84"/>
    <w:rsid w:val="00D03186"/>
    <w:rsid w:val="00D06E0F"/>
    <w:rsid w:val="00D0710F"/>
    <w:rsid w:val="00D079C2"/>
    <w:rsid w:val="00D11F68"/>
    <w:rsid w:val="00D16DDD"/>
    <w:rsid w:val="00D22734"/>
    <w:rsid w:val="00D3213F"/>
    <w:rsid w:val="00D32509"/>
    <w:rsid w:val="00D41DEE"/>
    <w:rsid w:val="00D44265"/>
    <w:rsid w:val="00D557F2"/>
    <w:rsid w:val="00D60118"/>
    <w:rsid w:val="00D61ABD"/>
    <w:rsid w:val="00D629D9"/>
    <w:rsid w:val="00D768E4"/>
    <w:rsid w:val="00D80D1F"/>
    <w:rsid w:val="00D86FC7"/>
    <w:rsid w:val="00D91AE0"/>
    <w:rsid w:val="00D9208B"/>
    <w:rsid w:val="00D9409F"/>
    <w:rsid w:val="00D97CB3"/>
    <w:rsid w:val="00DA0981"/>
    <w:rsid w:val="00DA1DF7"/>
    <w:rsid w:val="00DA3292"/>
    <w:rsid w:val="00DA5341"/>
    <w:rsid w:val="00DA5794"/>
    <w:rsid w:val="00DA617F"/>
    <w:rsid w:val="00DA78E3"/>
    <w:rsid w:val="00DB139A"/>
    <w:rsid w:val="00DB2DAC"/>
    <w:rsid w:val="00DB480F"/>
    <w:rsid w:val="00DB65F8"/>
    <w:rsid w:val="00DB7222"/>
    <w:rsid w:val="00DB7D5E"/>
    <w:rsid w:val="00DC6CBC"/>
    <w:rsid w:val="00DD015E"/>
    <w:rsid w:val="00DD57BF"/>
    <w:rsid w:val="00DE0D3E"/>
    <w:rsid w:val="00DE3555"/>
    <w:rsid w:val="00DE5854"/>
    <w:rsid w:val="00DE6462"/>
    <w:rsid w:val="00DF4E3B"/>
    <w:rsid w:val="00E0214B"/>
    <w:rsid w:val="00E063A4"/>
    <w:rsid w:val="00E06734"/>
    <w:rsid w:val="00E11A4F"/>
    <w:rsid w:val="00E141C7"/>
    <w:rsid w:val="00E170B1"/>
    <w:rsid w:val="00E3295C"/>
    <w:rsid w:val="00E34569"/>
    <w:rsid w:val="00E34D14"/>
    <w:rsid w:val="00E45D71"/>
    <w:rsid w:val="00E519E3"/>
    <w:rsid w:val="00E53B77"/>
    <w:rsid w:val="00E6094C"/>
    <w:rsid w:val="00E61697"/>
    <w:rsid w:val="00E63A93"/>
    <w:rsid w:val="00E663C6"/>
    <w:rsid w:val="00E675FE"/>
    <w:rsid w:val="00E76FC2"/>
    <w:rsid w:val="00E80861"/>
    <w:rsid w:val="00E87411"/>
    <w:rsid w:val="00E87EBD"/>
    <w:rsid w:val="00E93525"/>
    <w:rsid w:val="00E965C8"/>
    <w:rsid w:val="00EA09EE"/>
    <w:rsid w:val="00EA169B"/>
    <w:rsid w:val="00EB1881"/>
    <w:rsid w:val="00EB2CF6"/>
    <w:rsid w:val="00EB468A"/>
    <w:rsid w:val="00EB52A6"/>
    <w:rsid w:val="00EB68FD"/>
    <w:rsid w:val="00EC403E"/>
    <w:rsid w:val="00EC68DE"/>
    <w:rsid w:val="00ED0755"/>
    <w:rsid w:val="00ED2E61"/>
    <w:rsid w:val="00ED4201"/>
    <w:rsid w:val="00ED590D"/>
    <w:rsid w:val="00ED5DBC"/>
    <w:rsid w:val="00ED720F"/>
    <w:rsid w:val="00EE426A"/>
    <w:rsid w:val="00EE46C8"/>
    <w:rsid w:val="00EE58CF"/>
    <w:rsid w:val="00EE7DC5"/>
    <w:rsid w:val="00EF028C"/>
    <w:rsid w:val="00EF4BCB"/>
    <w:rsid w:val="00F00E05"/>
    <w:rsid w:val="00F0118C"/>
    <w:rsid w:val="00F060A3"/>
    <w:rsid w:val="00F1204D"/>
    <w:rsid w:val="00F15DE4"/>
    <w:rsid w:val="00F22CF7"/>
    <w:rsid w:val="00F255A2"/>
    <w:rsid w:val="00F267B4"/>
    <w:rsid w:val="00F2785F"/>
    <w:rsid w:val="00F326FE"/>
    <w:rsid w:val="00F45B98"/>
    <w:rsid w:val="00F572D7"/>
    <w:rsid w:val="00F6116B"/>
    <w:rsid w:val="00F67F13"/>
    <w:rsid w:val="00F70433"/>
    <w:rsid w:val="00F70917"/>
    <w:rsid w:val="00F73C88"/>
    <w:rsid w:val="00F76553"/>
    <w:rsid w:val="00F81467"/>
    <w:rsid w:val="00F86F5C"/>
    <w:rsid w:val="00F91E75"/>
    <w:rsid w:val="00F95AC0"/>
    <w:rsid w:val="00F9618C"/>
    <w:rsid w:val="00F979C2"/>
    <w:rsid w:val="00FA0544"/>
    <w:rsid w:val="00FA0B60"/>
    <w:rsid w:val="00FA11A5"/>
    <w:rsid w:val="00FA11F1"/>
    <w:rsid w:val="00FA226E"/>
    <w:rsid w:val="00FA2FFF"/>
    <w:rsid w:val="00FA5819"/>
    <w:rsid w:val="00FA7611"/>
    <w:rsid w:val="00FB59CC"/>
    <w:rsid w:val="00FB69D5"/>
    <w:rsid w:val="00FC019C"/>
    <w:rsid w:val="00FC2EEA"/>
    <w:rsid w:val="00FC3010"/>
    <w:rsid w:val="00FC6E59"/>
    <w:rsid w:val="00FC7597"/>
    <w:rsid w:val="00FC78CE"/>
    <w:rsid w:val="00FD45AD"/>
    <w:rsid w:val="00FD6554"/>
    <w:rsid w:val="00FE3170"/>
    <w:rsid w:val="00FE37E5"/>
    <w:rsid w:val="00FE569B"/>
    <w:rsid w:val="00FF20B0"/>
    <w:rsid w:val="00FF32C6"/>
    <w:rsid w:val="00FF3E09"/>
    <w:rsid w:val="00FF50B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2BA18"/>
  <w15:chartTrackingRefBased/>
  <w15:docId w15:val="{56F95BD8-EB80-44B6-810A-3A31CAF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uiPriority w:val="9"/>
    <w:qFormat/>
    <w:rsid w:val="00042DE1"/>
    <w:pPr>
      <w:numPr>
        <w:numId w:val="1"/>
      </w:numPr>
      <w:spacing w:before="360" w:after="280" w:line="240" w:lineRule="auto"/>
      <w:outlineLvl w:val="0"/>
    </w:pPr>
    <w:rPr>
      <w:rFonts w:ascii="Verdana" w:hAnsi="Verdana"/>
      <w:b/>
      <w:bCs/>
      <w:color w:val="00206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04D"/>
    <w:pPr>
      <w:keepNext/>
      <w:keepLines/>
      <w:spacing w:before="40" w:after="240" w:line="240" w:lineRule="auto"/>
      <w:outlineLvl w:val="1"/>
    </w:pPr>
    <w:rPr>
      <w:rFonts w:ascii="Verdana" w:eastAsiaTheme="majorEastAsia" w:hAnsi="Verdan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DE1"/>
    <w:rPr>
      <w:rFonts w:ascii="Verdana" w:hAnsi="Verdana"/>
      <w:b/>
      <w:bCs/>
      <w:color w:val="00206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04D"/>
    <w:rPr>
      <w:rFonts w:ascii="Verdana" w:eastAsiaTheme="majorEastAsia" w:hAnsi="Verdana" w:cstheme="majorBidi"/>
      <w:szCs w:val="26"/>
    </w:rPr>
  </w:style>
  <w:style w:type="paragraph" w:customStyle="1" w:styleId="text1">
    <w:name w:val="text1"/>
    <w:basedOn w:val="Normal"/>
    <w:qFormat/>
    <w:rsid w:val="00EE7DC5"/>
    <w:pPr>
      <w:spacing w:after="200" w:line="240" w:lineRule="auto"/>
    </w:pPr>
    <w:rPr>
      <w:rFonts w:ascii="Verdana" w:hAnsi="Verdana"/>
      <w:sz w:val="20"/>
      <w:szCs w:val="20"/>
    </w:rPr>
  </w:style>
  <w:style w:type="paragraph" w:customStyle="1" w:styleId="List1">
    <w:name w:val="List1"/>
    <w:basedOn w:val="text1"/>
    <w:qFormat/>
    <w:rsid w:val="00EE7DC5"/>
    <w:pPr>
      <w:spacing w:after="120"/>
    </w:pPr>
  </w:style>
  <w:style w:type="paragraph" w:customStyle="1" w:styleId="byline">
    <w:name w:val="byline"/>
    <w:basedOn w:val="text1"/>
    <w:qFormat/>
    <w:rsid w:val="005322FF"/>
    <w:pPr>
      <w:spacing w:after="480"/>
    </w:pPr>
  </w:style>
  <w:style w:type="paragraph" w:styleId="Title">
    <w:name w:val="Title"/>
    <w:basedOn w:val="Heading1"/>
    <w:next w:val="text1"/>
    <w:link w:val="TitleChar"/>
    <w:uiPriority w:val="10"/>
    <w:qFormat/>
    <w:rsid w:val="00042DE1"/>
    <w:pPr>
      <w:numPr>
        <w:numId w:val="0"/>
      </w:numPr>
      <w:spacing w:before="0" w:after="360"/>
      <w:jc w:val="center"/>
    </w:pPr>
    <w:rPr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42DE1"/>
    <w:rPr>
      <w:rFonts w:ascii="Verdana" w:hAnsi="Verdan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sec1">
    <w:name w:val="numsec1"/>
    <w:basedOn w:val="text1"/>
    <w:qFormat/>
    <w:rsid w:val="00955DC6"/>
    <w:pPr>
      <w:numPr>
        <w:ilvl w:val="1"/>
        <w:numId w:val="1"/>
      </w:numPr>
      <w:ind w:left="1260"/>
    </w:p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C9"/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C9"/>
  </w:style>
  <w:style w:type="paragraph" w:customStyle="1" w:styleId="numsec2">
    <w:name w:val="numsec2"/>
    <w:basedOn w:val="numsec1"/>
    <w:qFormat/>
    <w:rsid w:val="008237F6"/>
    <w:pPr>
      <w:numPr>
        <w:ilvl w:val="2"/>
      </w:numPr>
      <w:ind w:left="1980"/>
    </w:pPr>
  </w:style>
  <w:style w:type="paragraph" w:customStyle="1" w:styleId="indent2">
    <w:name w:val="indent2"/>
    <w:basedOn w:val="numsec2"/>
    <w:qFormat/>
    <w:rsid w:val="000525C1"/>
    <w:pPr>
      <w:numPr>
        <w:ilvl w:val="0"/>
        <w:numId w:val="0"/>
      </w:numPr>
      <w:ind w:left="1980"/>
    </w:pPr>
  </w:style>
  <w:style w:type="paragraph" w:customStyle="1" w:styleId="numsec3">
    <w:name w:val="numsec3"/>
    <w:basedOn w:val="numsec2"/>
    <w:qFormat/>
    <w:rsid w:val="00B83057"/>
    <w:pPr>
      <w:numPr>
        <w:ilvl w:val="3"/>
      </w:numPr>
      <w:ind w:left="30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l\Documents\Custom%20Office%20Templates\toi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toi2.dotx</Template>
  <TotalTime>264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Jaskow</dc:creator>
  <cp:keywords/>
  <dc:description/>
  <cp:lastModifiedBy>אנסטסיה אלון</cp:lastModifiedBy>
  <cp:revision>755</cp:revision>
  <dcterms:created xsi:type="dcterms:W3CDTF">2018-08-20T10:33:00Z</dcterms:created>
  <dcterms:modified xsi:type="dcterms:W3CDTF">2018-08-21T14:42:00Z</dcterms:modified>
</cp:coreProperties>
</file>